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embeddings/oleObject1.bin" ContentType="application/vnd.openxmlformats-officedocument.oleObject"/>
  <Override PartName="/word/theme/theme1.xml" ContentType="application/vnd.openxmlformats-officedocument.theme+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rFonts w:eastAsia="" w:eastAsiaTheme="minorEastAsia"/>
          <w:lang w:eastAsia="it-IT"/>
        </w:rPr>
      </w:pPr>
      <w:r>
        <w:rPr/>
        <w:object>
          <v:shapetype id="shapetype_ole_rId2" coordsize="21600,21600" o:spt="ole_rId2"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2" type="shapetype_ole_rId2" style="width:44.2pt;height:56.5pt;mso-wrap-distance-right:0pt" filled="f" o:ole="">
            <v:imagedata r:id="rId3" o:title=""/>
          </v:shape>
          <o:OLEObject Type="Embed" ProgID="Word.Picture.8" ShapeID="ole_rId2" DrawAspect="Content" ObjectID="_2003776112" r:id="rId2"/>
        </w:object>
      </w:r>
    </w:p>
    <w:p>
      <w:pPr>
        <w:pStyle w:val="Normal"/>
        <w:jc w:val="center"/>
        <w:rPr>
          <w:rFonts w:ascii="Times New Roman" w:hAnsi="Times New Roman" w:eastAsia="" w:cs="Times New Roman" w:eastAsiaTheme="minorEastAsia"/>
          <w:b/>
          <w:b/>
          <w:sz w:val="40"/>
          <w:szCs w:val="40"/>
          <w:lang w:eastAsia="it-IT"/>
        </w:rPr>
      </w:pPr>
      <w:r>
        <w:rPr>
          <w:rFonts w:eastAsia="" w:cs="Times New Roman" w:ascii="Times New Roman" w:hAnsi="Times New Roman" w:eastAsiaTheme="minorEastAsia"/>
          <w:b/>
          <w:sz w:val="40"/>
          <w:szCs w:val="40"/>
          <w:lang w:eastAsia="it-IT"/>
        </w:rPr>
        <w:t>Città di Messina</w:t>
      </w:r>
    </w:p>
    <w:p>
      <w:pPr>
        <w:pStyle w:val="Normal"/>
        <w:spacing w:before="0" w:after="0"/>
        <w:jc w:val="center"/>
        <w:rPr>
          <w:rFonts w:ascii="Times New Roman" w:hAnsi="Times New Roman" w:cs="Times New Roman"/>
          <w:b/>
          <w:b/>
          <w:sz w:val="28"/>
          <w:szCs w:val="28"/>
        </w:rPr>
      </w:pPr>
      <w:r>
        <w:rPr>
          <w:rFonts w:cs="Times New Roman" w:ascii="Times New Roman" w:hAnsi="Times New Roman"/>
          <w:b/>
          <w:sz w:val="28"/>
          <w:szCs w:val="28"/>
        </w:rPr>
        <w:t>AVVISO PUBBLICO</w:t>
      </w:r>
    </w:p>
    <w:p>
      <w:pPr>
        <w:pStyle w:val="Normal"/>
        <w:spacing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t>SELEZIONE DI N. 1 ESPERTO IN GESTIONE, RENDICONTAZIONE E CONTROLLO CON COMPETENZE IN MATERIA DI SUPPORTO ALLA PROGRAMMAZIONE E PIANIFICAZIONE DEGLI INTERVENTI, NONCHE’ ALLA GESTIONE, AL MONITORAGGIO E AL CONTROLLO DEGLI STESSI IVI COMRESO IL SUPPORTO AI PROCESSI DI RENDICONTAZIONE RICHIESTI DAI DIVERSI SOGGETTI FINANZIATORI PER LA DEFINIZIONE E ATTUAZIONE DEI PROGETTI RICADENTI NEL PNRR - PROFILO SENIOR.</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b/>
          <w:sz w:val="24"/>
          <w:szCs w:val="24"/>
        </w:rPr>
        <w:t>VISTO</w:t>
      </w:r>
      <w:r>
        <w:rPr>
          <w:rFonts w:cs="Times New Roman" w:ascii="Times New Roman" w:hAnsi="Times New Roman"/>
          <w:sz w:val="24"/>
          <w:szCs w:val="24"/>
        </w:rPr>
        <w:t xml:space="preserve"> il decreto legislativo 30 marzo 2001, n. 165 recante “Norme generali sull'ordinamento del lavoro alle dipendenze delle amministrazioni pubbliche” e ss.mm. e ii.; </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VISTO</w:t>
      </w:r>
      <w:r>
        <w:rPr>
          <w:rFonts w:cs="Times New Roman" w:ascii="Times New Roman" w:hAnsi="Times New Roman"/>
          <w:sz w:val="24"/>
          <w:szCs w:val="24"/>
        </w:rPr>
        <w:t xml:space="preserve"> il decreto-legge 31 maggio 2021 n. 77, recante “Governance del Piano Nazionale di Rilancio e Resilienza e prime misure di rafforzamento delle strutture amministrative e di accelerazione e snellimento delle procedure”, convertito, con modificazioni, dalla legge n. 108 del 29 luglio 2021; in particolare, l’articolo 8, del suddetto decreto-legge n. 77/2021 ai sensi del quale ciascuna amministrazione é titolare di interventi previsti nel PNRR, provvede al coordinamento delle relative attività di gestione, nonché al loro monitoraggio, rendicontazione e controllo;</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VISTO</w:t>
      </w:r>
      <w:r>
        <w:rPr>
          <w:rFonts w:cs="Times New Roman" w:ascii="Times New Roman" w:hAnsi="Times New Roman"/>
          <w:sz w:val="24"/>
          <w:szCs w:val="24"/>
        </w:rPr>
        <w:t xml:space="preserve"> il decreto-legge 9 giugno 2021, n. 80 recante “Misure per il rafforzamento della capacità amministrativa delle pubbliche amministrazioni funzionale all'attuazione del Piano nazionale di ripresa e resilienza (PNRR) e per l'efficienza della giustizia”, convertito, con modificazioni, dalla legge n. 113 del 6 agosto 2021, ed in particolare l’art.7, comma 4 per cui le amministrazioni titolari possono avvalersi di un contingente di esperti di comprovata qualificazione professionale nelle materie oggetto degli interventi e che detti incarichi di cui al medesimo comma 4 sono conferiti ai sensi dell’art. 7, co. 6, del Decreto legislativo 30 marzo 2001, n. 165 e con le modalità di cui all’art.</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 per la durata massima di 36 mesi;</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VISTA</w:t>
      </w:r>
      <w:r>
        <w:rPr>
          <w:rFonts w:cs="Times New Roman" w:ascii="Times New Roman" w:hAnsi="Times New Roman"/>
          <w:sz w:val="24"/>
          <w:szCs w:val="24"/>
        </w:rPr>
        <w:t xml:space="preserve"> la Legge n. 233 del 29 dicembre 2021 che ha previsto uno stanziamento di 67 milioni di euro per il reclutamento di professionisti e personale in possesso di alta specializzazione da destinare agli Enti Locali per l’attuazione del PNRR e della politica di coesione. </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VISTO</w:t>
      </w:r>
      <w:r>
        <w:rPr>
          <w:rFonts w:cs="Times New Roman" w:ascii="Times New Roman" w:hAnsi="Times New Roman"/>
          <w:sz w:val="24"/>
          <w:szCs w:val="24"/>
        </w:rPr>
        <w:t xml:space="preserve"> l’ articolo 11 comma 2 del Decreto Legge 30 aprile 2022, n. 36 convertito con modificazioni con legge. n. 79 del 29 giugno 2022 recante “Ulteriori misure urgenti per l’attuazione del piano nazionale di ripresa e resilienza (PNRR)”;</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DATO ATTO: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che con comunicazione acquisita al protocollo generale al n. 190223 in data 27/07/2022 l’ Agenzia per la Coesione Territoriale comunicava  che il Comune Città di Messina è destinatario delle risorse per la stipula di contratto di collaborazione ex art. 7, commi 6 e 6 bis del D.lgs. 165/2001 con N. 1 esperto di alta specializzazione in  gestione, rendicontazione e controllo con competenze in materia di supporto alla programmazione e pianificazione degli interventi, nonché alla gestione e monitoraggio e al controllo degli stessi ivi compreso il supporto ai processi di rendicontazione richiesti dai diversi soggetti finanziatori per la definizione e l’attuazione dei progetti ricadenti nel PNRR, con profilo senior;</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che nello specifico l’unità che l’Ente ha scelto di selezionare direttamente, secondo quanto previsto dal Regolamento dell’Agenzia per la Coesione territoriale per il conferimento degli incarichi di lavoro autonomo n. 107 del 8/06/2018, corrisponde al  profilo di  senior  con impiego per un massimale di 100 giornate in tre anni  e per un budget di spesa complessiva per il triennio pari ad € 50.400,00, corrispondente ad un costo/giornata di € 504,00 al lordo di IVA e degli oneri previdenziali (euro 400,00 importo netto);</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RITENUTO</w:t>
      </w:r>
      <w:r>
        <w:rPr>
          <w:rFonts w:cs="Times New Roman" w:ascii="Times New Roman" w:hAnsi="Times New Roman"/>
          <w:sz w:val="24"/>
          <w:szCs w:val="24"/>
        </w:rPr>
        <w:t xml:space="preserve"> necessario attivare il supporto di che trattasi per l’avvio e l’attuazione degli interventi del PNRR di cui l’Ente è beneficiario, specificatamente alle funzioni  di gestione, rendicontazione  e controllo;</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DATO ATTO: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che con avviso di interpello interno del 31/10/2022  si informava il personale dipendente interessato di segnalare la   propria eventuale candidatura per l’affidamento dell’incarico di che trattasi;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-che l’interpello ha dato esito negativo, atteso che nei termini indicati nel sopracitato avviso nessuna candidatura è pervenuta, appurando pertanto l’indisponibilità e l’impossibilità di utilizzare le risorse di personale interno per l’ambito di competenza ed esperienza ricercato.</w:t>
      </w:r>
    </w:p>
    <w:p>
      <w:pPr>
        <w:pStyle w:val="Normal"/>
        <w:spacing w:before="240" w:after="0"/>
        <w:jc w:val="center"/>
        <w:rPr>
          <w:rFonts w:ascii="Times New Roman" w:hAnsi="Times New Roman" w:cs="Times New Roman"/>
          <w:b/>
          <w:b/>
          <w:sz w:val="24"/>
          <w:szCs w:val="24"/>
        </w:rPr>
      </w:pPr>
      <w:r>
        <w:rPr>
          <w:rFonts w:cs="Times New Roman" w:ascii="Times New Roman" w:hAnsi="Times New Roman"/>
          <w:b/>
          <w:sz w:val="24"/>
          <w:szCs w:val="24"/>
        </w:rPr>
        <w:t>RENDE NOTO</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Art. 1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Oggetto dell’incarico e requisiti professionali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1. Il presente Avviso ha ad oggetto la selezione di n. 1 </w:t>
      </w:r>
      <w:r>
        <w:rPr>
          <w:rFonts w:cs="Times New Roman" w:ascii="Times New Roman" w:hAnsi="Times New Roman"/>
          <w:b/>
          <w:i/>
          <w:sz w:val="24"/>
          <w:szCs w:val="24"/>
        </w:rPr>
        <w:t>Esperto di alta specializzazione in  gestione, rendicontazione e controllo</w:t>
      </w:r>
      <w:r>
        <w:rPr>
          <w:rFonts w:cs="Times New Roman" w:ascii="Times New Roman" w:hAnsi="Times New Roman"/>
          <w:i/>
          <w:sz w:val="24"/>
          <w:szCs w:val="24"/>
        </w:rPr>
        <w:t xml:space="preserve"> con competenze in materia di supporto alla programmazione e pianificazione degli interventi, nonché alla gestione e monitoraggio e al controllo degli stessi ivi compreso il supporto ai processi di rendicontazione richiesti dai diversi soggetti finanziatori per la definizione e l’attuazione dei progetti ricadenti nel PNRR –</w:t>
      </w:r>
      <w:r>
        <w:rPr>
          <w:rFonts w:cs="Times New Roman" w:ascii="Times New Roman" w:hAnsi="Times New Roman"/>
          <w:b/>
          <w:i/>
          <w:sz w:val="24"/>
          <w:szCs w:val="24"/>
        </w:rPr>
        <w:t xml:space="preserve"> profilo SENIOR – con  specifica e comprovata esperienza di almeno 7 anni nel settore</w:t>
      </w:r>
      <w:r>
        <w:rPr>
          <w:rFonts w:cs="Times New Roman" w:ascii="Times New Roman" w:hAnsi="Times New Roman"/>
          <w:sz w:val="24"/>
          <w:szCs w:val="24"/>
        </w:rPr>
        <w:t>, per il conferimento di un incarico di lavoro di natura autonoma a mezzo di valutazione comparativa, ai sensi dell’art. 7, comma 6, del Decreto legislativo 30 marzo 2001, n. 165 e s.m.i., per l’attuazione degli interventi ricadenti nel PNRR a titolarità del Comune della Città di Messina.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L’esperienza è riferita agli anni di attività professionale presso la P.A. o privati, nonché libera professione, nell’ambito di interventi per la realizzazione di opere pubbliche.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1.In particolare è richiesta: esperienza  nell’attività di scrittura, elaborazione, redazione di proposte progettuali, nel monitoraggio e rendicontazione di fondi europei, nella gestione, monitoraggio e controllo dei progetti al fine di assicurarne una efficace ed efficiente attuazione,  nell’applicazione delle tecniche di pianificazione di risorse e di mezzi, nell’applicazione di tecniche per l’analisi costi-benefici.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2.Il professionista svolgerà l’incarico a supporto dell’Amministrazione nella gestione delle procedure complesse, per il recupero dell’arretrato, nell’assistenza per la presentazione dei progetti e nelle attività di misurazione dei tempi effettivi di conclusione delle procedure, nella rendicontazione delle spese sostenute e nella predisposizione della documentazione di chiusura degli interventi finanziati mediante la redazione di report finali.  </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3.Ai fini del calcolo degli anni di esperienza professionale si considerano gli anni di esperienza espressi in mesi, anche non continuativi, riferiti appunto alla durata dei contratti.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Il mese viene considerato per intero laddove l’esperto abbia prestato la propria attività per un tempo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superiore a 15 giorni.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Non sono cumulabili le esperienze lavorative svolte contemporaneamente nello stesso periodo per cui andrà specificata (nella domanda di partecipazione – Allegato n. 1) l’esperienza ritenuta più qualificante per ciascun singolo periodo contrattuale non sovrapponibile.</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Art. 2</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Requisiti di partecipazione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 Il presente avviso è corredato dell’allegato n. 1 “</w:t>
      </w:r>
      <w:r>
        <w:rPr>
          <w:rFonts w:cs="Times New Roman" w:ascii="Times New Roman" w:hAnsi="Times New Roman"/>
          <w:i/>
          <w:sz w:val="24"/>
          <w:szCs w:val="24"/>
        </w:rPr>
        <w:t>Domanda di partecipazione</w:t>
      </w:r>
      <w:r>
        <w:rPr>
          <w:rFonts w:cs="Times New Roman" w:ascii="Times New Roman" w:hAnsi="Times New Roman"/>
          <w:sz w:val="24"/>
          <w:szCs w:val="24"/>
        </w:rPr>
        <w:t>”, che costituisce parte integrante e sostanziale dello stesso.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2. Per partecipare alla selezione i candidati, alla data di scadenza del termine per la presentazione delle domande, devono possedere i seguenti requisiti di ammissibilità, così come indicati nella domanda di partecipazione: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a) essere in possesso della cittadinanza italiana o di uno degli Stati membri dell'Unione europea (ad</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eccezione delle ipotesi di cui all’art. 38 del d. Lgs. n. 165/2001 e s.m.i.). </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Ai sensi dell’art. 38 del D.Lgs. n. 165/2001 e s.m.i., possono inoltre partecipare i familiari dei cittadini degli Stati membri dell'Unione europea non aventi la cittadinanza di uno Stato membro che siano titolari del diritto di soggiorno o del diritto di soggiorno permanente oppure i cittadini di Paesi Terzi che siano titolari del permesso di soggiorno CE per soggiornanti di lungo periodo o che siano titolari dello status di rifugiato ovvero dello status di protezione sussidiaria, ai sensi di quanto previsto dalla normativa vigente.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b) godere dei diritti civili e politici;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c) non aver riportato condanne penali e non essere destinatario di provvedimenti che riguardano l’applicazione di misure di prevenzione, di decisioni civili e di provvedimenti amministrativi iscritti nel casellario giudiziale;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d) non essere sottoposto a procedimenti penali;</w:t>
      </w:r>
    </w:p>
    <w:p>
      <w:pPr>
        <w:pStyle w:val="NormalWeb"/>
        <w:spacing w:beforeAutospacing="0" w:before="0" w:afterAutospacing="0" w:after="0"/>
        <w:jc w:val="both"/>
        <w:rPr/>
      </w:pPr>
      <w:r>
        <w:rPr/>
        <w:t>e) essere in possesso del seguente titolo di studio: Laurea conseguita con l’ordinamento di studi previgente al D.M.03.11.1999, n. 509 (vecchio ordinamento) o Laurea Specialistica/Magistrale conseguita con il nuovo ordinamento di cui alla normativa vigente (DL, LM, LS esclusa quella triennale);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f) essere in possesso di comprovata esperienza professionale strettamente correlata al contenuto della prestazione richiesta e delle competenze ricercate.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Il possesso del requisito inerente la comprovata esperienza professionale, strettamente correlata al contenuto della prestazione richiesta” (lettera f) deve essere dichiarato nella domanda di partecipazione di cui all’Allegato n. 1, specificando il periodo di esperienza maturata nel settore richiesto e comunque non meno di sette anni.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3. Tutti i requisiti prescritti devono essere posseduti alla data di scadenza del termine utile per la presentazione della domanda di partecipazione e devono persistere, inoltre, al momento dell'eventuale contrattualizzazione del rapporto di lavoro. Devono essere dichiarati i requisiti solo se documentabili, anche ai fini dei controlli successivi.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4. La presentazione della domanda di partecipazione alla selezione di cui al presente Avviso ha valenza di piena accettazione delle condizioni in esso riportate, di piena consapevolezza della natura autonoma del rapporto lavorativo, nonché, di conoscenza ed accettazione delle norme, condizioni e prescrizioni dettate nel presente Avviso e in tutta la documentazione allegata.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5. Il presente Avviso e la successiva selezione non impegnano in alcun modo il comune di Messina al conferimento degli incarichi, e quest'ultimo si riserva la facoltà, a suo insindacabile giudizio, di sospendere o revocare in qualsiasi momento la selezione, tramite comunicazione sul sito web </w:t>
      </w:r>
      <w:hyperlink r:id="rId4">
        <w:r>
          <w:rPr>
            <w:rStyle w:val="CollegamentoInternet"/>
            <w:rFonts w:cs="Times New Roman" w:ascii="Times New Roman" w:hAnsi="Times New Roman"/>
            <w:sz w:val="24"/>
            <w:szCs w:val="24"/>
          </w:rPr>
          <w:t>www.comune.messina.it</w:t>
        </w:r>
      </w:hyperlink>
      <w:r>
        <w:rPr>
          <w:rFonts w:cs="Times New Roman" w:ascii="Times New Roman" w:hAnsi="Times New Roman"/>
          <w:sz w:val="24"/>
          <w:szCs w:val="24"/>
        </w:rPr>
        <w:t xml:space="preserve">  senza che i concorrenti possano vantare alcun diritto.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6. L'esito positivo della selezione e l’utile inserimento in graduatoria, non genera in alcun modo obbligo di conferimento dell'incarico da parte del Comune.</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0"/>
        <w:jc w:val="center"/>
        <w:rPr>
          <w:rFonts w:ascii="Times New Roman" w:hAnsi="Times New Roman" w:cs="Times New Roman"/>
          <w:sz w:val="24"/>
          <w:szCs w:val="24"/>
        </w:rPr>
      </w:pPr>
      <w:r>
        <w:rPr>
          <w:rFonts w:cs="Times New Roman" w:ascii="Times New Roman" w:hAnsi="Times New Roman"/>
          <w:b/>
          <w:sz w:val="24"/>
          <w:szCs w:val="24"/>
        </w:rPr>
        <w:t>Art. 3</w:t>
      </w:r>
      <w:r>
        <w:rPr>
          <w:rFonts w:cs="Times New Roman" w:ascii="Times New Roman" w:hAnsi="Times New Roman"/>
          <w:sz w:val="24"/>
          <w:szCs w:val="24"/>
        </w:rPr>
        <w:t xml:space="preserve">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Presentazione della domanda di partecipazione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1.La domanda di partecipazione  alla selezione, resa ai sensi e per gli effetti del D.P.R. n.445/2000, deve essere presentata a far data dalla pubblicazione del presente avviso, deve pervenire entro e non oltre</w:t>
      </w:r>
      <w:r>
        <w:rPr>
          <w:rFonts w:cs="Times New Roman" w:ascii="Times New Roman" w:hAnsi="Times New Roman"/>
          <w:sz w:val="24"/>
          <w:szCs w:val="24"/>
          <w:shd w:fill="auto" w:val="clear"/>
        </w:rPr>
        <w:t xml:space="preserve"> le ore 23:59 del giorno </w:t>
      </w:r>
      <w:r>
        <w:rPr>
          <w:rFonts w:eastAsia="Calibri" w:cs="Times New Roman" w:ascii="Times New Roman" w:hAnsi="Times New Roman"/>
          <w:color w:val="000000"/>
          <w:kern w:val="0"/>
          <w:sz w:val="24"/>
          <w:szCs w:val="24"/>
          <w:shd w:fill="auto" w:val="clear"/>
          <w:lang w:val="it-IT" w:eastAsia="en-US" w:bidi="ar-SA"/>
        </w:rPr>
        <w:t xml:space="preserve">16 </w:t>
      </w:r>
      <w:r>
        <w:rPr>
          <w:rFonts w:cs="Times New Roman" w:ascii="Times New Roman" w:hAnsi="Times New Roman"/>
          <w:sz w:val="24"/>
          <w:szCs w:val="24"/>
          <w:shd w:fill="auto" w:val="clear"/>
        </w:rPr>
        <w:t xml:space="preserve">mese </w:t>
      </w:r>
      <w:r>
        <w:rPr>
          <w:rFonts w:eastAsia="Calibri" w:cs="Times New Roman" w:ascii="Times New Roman" w:hAnsi="Times New Roman"/>
          <w:color w:val="000000"/>
          <w:kern w:val="0"/>
          <w:sz w:val="24"/>
          <w:szCs w:val="24"/>
          <w:shd w:fill="auto" w:val="clear"/>
          <w:lang w:val="it-IT" w:eastAsia="en-US" w:bidi="ar-SA"/>
        </w:rPr>
        <w:t>Marzo</w:t>
      </w:r>
      <w:r>
        <w:rPr>
          <w:rFonts w:cs="Times New Roman" w:ascii="Times New Roman" w:hAnsi="Times New Roman"/>
          <w:sz w:val="24"/>
          <w:szCs w:val="24"/>
          <w:shd w:fill="auto" w:val="clear"/>
        </w:rPr>
        <w:t xml:space="preserve"> anno 2023 </w:t>
      </w:r>
      <w:r>
        <w:rPr>
          <w:rFonts w:cs="Times New Roman" w:ascii="Times New Roman" w:hAnsi="Times New Roman"/>
          <w:sz w:val="24"/>
          <w:szCs w:val="24"/>
        </w:rPr>
        <w:t xml:space="preserve">e deve rispettare, </w:t>
      </w:r>
      <w:r>
        <w:rPr>
          <w:rFonts w:cs="Times New Roman" w:ascii="Times New Roman" w:hAnsi="Times New Roman"/>
          <w:b/>
          <w:sz w:val="24"/>
          <w:szCs w:val="24"/>
        </w:rPr>
        <w:t>pena l’esclusione</w:t>
      </w:r>
      <w:r>
        <w:rPr>
          <w:rFonts w:cs="Times New Roman" w:ascii="Times New Roman" w:hAnsi="Times New Roman"/>
          <w:sz w:val="24"/>
          <w:szCs w:val="24"/>
        </w:rPr>
        <w:t>, le prescrizioni e le modalità di trasmissione di seguito riportate: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a) essere redatta e conforme allo schema di cui all'Allegato n. 1 al presente Avviso, lasciando inalterati i contenuti anche laddove non di pertinenza del candidato. Le parti di dichiarazione vanno sempre rese, anche se negative, pertanto lasciando vuoto o “barrando” lo spazio che si ritiene di non dover compilare perché non di pertinenza. Sono escluse le domande presentate con modalità diverse;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b) essere sottoscritta con </w:t>
      </w:r>
      <w:r>
        <w:rPr>
          <w:rFonts w:cs="Times New Roman" w:ascii="Times New Roman" w:hAnsi="Times New Roman"/>
          <w:b/>
          <w:sz w:val="24"/>
          <w:szCs w:val="24"/>
          <w:u w:val="single"/>
        </w:rPr>
        <w:t>firma autografa sull'ultima pagina (con firma per esteso e leggibile),</w:t>
      </w:r>
      <w:r>
        <w:rPr>
          <w:rFonts w:cs="Times New Roman" w:ascii="Times New Roman" w:hAnsi="Times New Roman"/>
          <w:sz w:val="24"/>
          <w:szCs w:val="24"/>
        </w:rPr>
        <w:t xml:space="preserve"> successivamente scansionata in formato pdf in un unico file. È possibile la presentazione della domanda firmata digitalmente;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c) essere corredata degli allegati di seguito indicati che devono rispettare le caratteristiche richieste: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b/>
          <w:sz w:val="24"/>
          <w:szCs w:val="24"/>
        </w:rPr>
        <w:t>Curriculum vitae (CV)</w:t>
      </w:r>
      <w:r>
        <w:rPr>
          <w:rFonts w:cs="Times New Roman" w:ascii="Times New Roman" w:hAnsi="Times New Roman"/>
          <w:sz w:val="24"/>
          <w:szCs w:val="24"/>
        </w:rPr>
        <w:t xml:space="preserve"> in formato europeo, scansionato in formato Pdf, deve essere trasmesso in un unico file separato dalla domanda e dal documento di identità. Nel CV devono risultare le esperienze professionali, nonché tutti gli elementi utili alla valutazione delle competenze ed esperienze specifiche richieste e i “Titoli” di cui all’art. 5 del presente Avviso che devono essere coerenti e riconducibili al profilo per il quale si presenta la domanda. Gli elementi oggetto di valutazione (es. contratti di lavoro, titoli, etc.) devono essere documentabili ai fini dei successi controlli di cui all’art.4, comma 12 del presente Avviso. La documentazione probante sarà successivamente richiesta dall’Amministrazione, non essendo necessario allegarla nella fase di presentazione della domanda.</w:t>
      </w:r>
    </w:p>
    <w:p>
      <w:pPr>
        <w:pStyle w:val="Normal"/>
        <w:spacing w:before="0" w:after="0"/>
        <w:jc w:val="both"/>
        <w:rPr>
          <w:rFonts w:ascii="Times New Roman" w:hAnsi="Times New Roman" w:cs="Times New Roman"/>
          <w:b/>
          <w:b/>
          <w:sz w:val="24"/>
          <w:szCs w:val="24"/>
          <w:u w:val="single"/>
        </w:rPr>
      </w:pPr>
      <w:r>
        <w:rPr>
          <w:rFonts w:cs="Times New Roman" w:ascii="Times New Roman" w:hAnsi="Times New Roman"/>
          <w:sz w:val="24"/>
          <w:szCs w:val="24"/>
        </w:rPr>
        <w:t xml:space="preserve">Il curriculum vitae, in lingua italiana, </w:t>
      </w:r>
      <w:r>
        <w:rPr>
          <w:rFonts w:cs="Times New Roman" w:ascii="Times New Roman" w:hAnsi="Times New Roman"/>
          <w:b/>
          <w:sz w:val="24"/>
          <w:szCs w:val="24"/>
          <w:u w:val="single"/>
        </w:rPr>
        <w:t>datato e sottoscritto all’ultima pagina con firma autografa (con firma per esteso e leggibile), o con firma digitale</w:t>
      </w:r>
      <w:r>
        <w:rPr>
          <w:rFonts w:cs="Times New Roman" w:ascii="Times New Roman" w:hAnsi="Times New Roman"/>
          <w:sz w:val="24"/>
          <w:szCs w:val="24"/>
        </w:rPr>
        <w:t xml:space="preserve">, deve essere redatto rispettando gli standard del formato europeo (formato europeo tradizionale o formato Europass  ed in formato pdf in un unico file. Deve inoltre riportare </w:t>
      </w:r>
      <w:r>
        <w:rPr>
          <w:rFonts w:cs="Times New Roman" w:ascii="Times New Roman" w:hAnsi="Times New Roman"/>
          <w:b/>
          <w:sz w:val="24"/>
          <w:szCs w:val="24"/>
          <w:u w:val="single"/>
        </w:rPr>
        <w:t>“l’autorizzazione al trattamento dei dati personali ai  sensi</w:t>
      </w:r>
      <w:r>
        <w:rPr>
          <w:rFonts w:eastAsia="Batang, 바탕" w:cs="Times New Roman" w:ascii="Times New Roman" w:hAnsi="Times New Roman"/>
          <w:lang w:eastAsia="it-IT"/>
        </w:rPr>
        <w:t xml:space="preserve"> </w:t>
      </w:r>
      <w:r>
        <w:rPr>
          <w:rFonts w:eastAsia="Batang, 바탕" w:cs="Times New Roman" w:ascii="Times New Roman" w:hAnsi="Times New Roman"/>
          <w:b/>
          <w:sz w:val="24"/>
          <w:szCs w:val="24"/>
          <w:u w:val="single"/>
          <w:lang w:eastAsia="it-IT"/>
        </w:rPr>
        <w:t xml:space="preserve">del Regolamento UE 2016/679 (GDPR) – (Regolamento Europeo relativo al trattamento dei dati personali)  e della normativa nazionale (D.Lgs. 196/2003 modificato dal D.Lgs. n. 101/2018) e </w:t>
      </w:r>
      <w:r>
        <w:rPr>
          <w:rFonts w:cs="Times New Roman" w:ascii="Times New Roman" w:hAnsi="Times New Roman"/>
          <w:b/>
          <w:sz w:val="24"/>
          <w:szCs w:val="24"/>
          <w:u w:val="single"/>
        </w:rPr>
        <w:t xml:space="preserve"> la dichiarazione di veridicità dei dati ai sensi del D.P.R. n. 445/2000 e ss.mm.ii.”;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b/>
          <w:sz w:val="24"/>
          <w:szCs w:val="24"/>
        </w:rPr>
        <w:t>Copia di un documento di identità</w:t>
      </w:r>
      <w:r>
        <w:rPr>
          <w:rFonts w:cs="Times New Roman" w:ascii="Times New Roman" w:hAnsi="Times New Roman"/>
          <w:sz w:val="24"/>
          <w:szCs w:val="24"/>
        </w:rPr>
        <w:t xml:space="preserve"> del sottoscrittore in corso di validità, trasmesso in formato pdf in un unico file separato dalla domanda e dal CV.</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2.  I candidati devono autorizzare il trattamento dei dati personali per le finalità e con le modalità di cui al </w:t>
      </w:r>
      <w:r>
        <w:rPr>
          <w:rFonts w:eastAsia="Batang, 바탕" w:cs="Times New Roman" w:ascii="Times New Roman" w:hAnsi="Times New Roman"/>
          <w:sz w:val="24"/>
          <w:szCs w:val="24"/>
          <w:lang w:eastAsia="it-IT"/>
        </w:rPr>
        <w:t>Regolamento UE 2016/679 (GDPR) – (Regolamento Europeo relativo al trattamento dei dati personali)  e della normativa nazionale (D.Lgs. 196/2003 modificato dal D.Lgs. n. 101/2018).</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3. La trasmissione della domanda di partecipazione, del CV e del documento di identità, ciascuno di essi in PDF, deve avvenire solo in formato elettronico tramite Posta Elettronica Certificata (PEC) - a mezzo di una unica posta elettronica certificata (PEC) contenente i 3 file separati - al seguente indirizzo: Direzione Generale del Comune di Messina PEC:  </w:t>
      </w:r>
      <w:hyperlink r:id="rId5">
        <w:r>
          <w:rPr>
            <w:rStyle w:val="CollegamentoInternet"/>
            <w:rFonts w:cs="Times New Roman" w:ascii="Times New Roman" w:hAnsi="Times New Roman"/>
            <w:sz w:val="24"/>
            <w:szCs w:val="24"/>
          </w:rPr>
          <w:t>protocollo@pec.comune.messina.it</w:t>
        </w:r>
      </w:hyperlink>
      <w:r>
        <w:rPr>
          <w:rFonts w:cs="Times New Roman" w:ascii="Times New Roman" w:hAnsi="Times New Roman"/>
          <w:sz w:val="24"/>
          <w:szCs w:val="24"/>
        </w:rPr>
        <w:t xml:space="preserve"> .</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L’oggetto della PEC deve riportare la dicitura: “Avviso n. 1 </w:t>
      </w:r>
      <w:r>
        <w:rPr>
          <w:rFonts w:cs="Times New Roman" w:ascii="Times New Roman" w:hAnsi="Times New Roman"/>
          <w:b/>
          <w:i/>
          <w:sz w:val="24"/>
          <w:szCs w:val="24"/>
        </w:rPr>
        <w:t>Esperto di alta specializzazione in  gestione, rendicontazione e controllo</w:t>
      </w:r>
      <w:r>
        <w:rPr>
          <w:rFonts w:cs="Times New Roman" w:ascii="Times New Roman" w:hAnsi="Times New Roman"/>
          <w:sz w:val="24"/>
          <w:szCs w:val="24"/>
        </w:rPr>
        <w:t xml:space="preserve"> – profilo SENIOR - PNRR”</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La domanda deve pervenire dal candidato mediante la propria casella di Posta Elettronica Certificata secondo le vigenti disposizioni (art. 65 D.Lgs. n. 82/2005) ossia da PEC la cui titolarità sia associata all'identità del candidato.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Ai fini dell’ammissibilità fa fede l’orario di ricezione della domanda di partecipazione presso la citata casella PEC del Comune di Messina.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4. La mancanza di un allegato, nonché, la non conformità alle caratteristiche richieste comporta l'esclusione della domanda.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5. Non saranno prese in considerazione le domande/documentazioni sostitutive, aggiuntive o integrative che perverranno al Comune oltre il termine fissato per la ricezione delle domande o secondo modalità diverse da quella descritta nei precedenti commi o che dovessero risultare incomplete. Il Comune inoltre non risponde di eventuali ritardi e/o disguidi, erronee comunicazioni, quale ne sia la causa o comunque imputabili al candidato o a fatto di terzi, a caso fortuito o forza maggiore, in ordine alle domande e/o documenti pervenuti oltre il predetto termine.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6. Il recapito che il candidato elegge ai fini della procedura è quello della Posta Elettronica Certificata (PEC) da cui perviene la domanda di partecipazione. Ogni sua eventuale variazione deve essere comunicata           tempestivamente           tramite           PEC           al           citato           indirizzo: Direzione Generale del Comune di Messina PEC </w:t>
      </w:r>
      <w:hyperlink r:id="rId6">
        <w:r>
          <w:rPr>
            <w:rStyle w:val="CollegamentoInternet"/>
            <w:rFonts w:cs="Times New Roman" w:ascii="Times New Roman" w:hAnsi="Times New Roman"/>
            <w:sz w:val="24"/>
            <w:szCs w:val="24"/>
          </w:rPr>
          <w:t>protocollo@pec.comune.messina.it</w:t>
        </w:r>
      </w:hyperlink>
      <w:r>
        <w:rPr>
          <w:rFonts w:cs="Times New Roman" w:ascii="Times New Roman" w:hAnsi="Times New Roman"/>
          <w:sz w:val="24"/>
          <w:szCs w:val="24"/>
        </w:rPr>
        <w:t xml:space="preserve">. </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7. In caso di irreperibilità del candidato per fatto non imputabile al Comune  (a causa per es. della disattivazione dell’account di PEC e/o di casella elettronica piena” o non funzionante, etc.), le comunicazioni si intendono regolarmente effettuate.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La presentazione della domanda di partecipazione alla selezione di cui al presente Avviso ha valenza di piena accettazione delle condizioni in esso riportate, di piena consapevolezza della natura autonoma del rapporto lavorativo nonché di conoscenza ed accettazione delle norme, condizioni e prescrizioni dettate nel presente Avviso e in tutta la documentazione allegata.</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Art. 4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Procedura di selezione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1.E’ garantita la parità di accesso a tutte le posizioni nel rispetto dell’equità di genere, religione, idee, cultura e ogni altra caratteristica personale.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Il Responsabile del Procedimento scaduti i termini per la presentazione della domanda, provvede a verificare che le domande siano pervenute entro i termini e con le modalità stabilite all' art. 3 del presente 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2. Ai fini della verifica di cui al precedente comma, costituiscono </w:t>
      </w:r>
      <w:r>
        <w:rPr>
          <w:rFonts w:cs="Times New Roman" w:ascii="Times New Roman" w:hAnsi="Times New Roman"/>
          <w:b/>
          <w:sz w:val="24"/>
          <w:szCs w:val="24"/>
        </w:rPr>
        <w:t>cause di inammissibilità</w:t>
      </w:r>
      <w:r>
        <w:rPr>
          <w:rFonts w:cs="Times New Roman" w:ascii="Times New Roman" w:hAnsi="Times New Roman"/>
          <w:sz w:val="24"/>
          <w:szCs w:val="24"/>
        </w:rPr>
        <w:t>:</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a) la presentazione della domanda redatta secondo uno schema diverso dall’Allegato 1 al presente Avviso. Le dichiarazioni vanno sempre rese, anche se negative.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b) la presentazione della domanda priva della dichiarazione resa ai sensi del D.P.R. n. 445/2000 e s.m.i., come riportato nello schema di cui all’Allegato 1 al presente 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c) la presentazione della domanda priva della dichiarazione resa ai sensi </w:t>
      </w:r>
      <w:r>
        <w:rPr>
          <w:rFonts w:eastAsia="Batang, 바탕" w:cs="Times New Roman" w:ascii="Times New Roman" w:hAnsi="Times New Roman"/>
          <w:sz w:val="24"/>
          <w:szCs w:val="24"/>
          <w:lang w:eastAsia="it-IT"/>
        </w:rPr>
        <w:t>Regolamento UE 2016/679 (GDPR) – (Regolamento Europeo relativo al trattamento dei dati personali)  e della normativa nazionale (D.Lgs. 196/2003 modificato dal D.Lgs. n. 101/2018)</w:t>
      </w:r>
      <w:r>
        <w:rPr>
          <w:rFonts w:cs="Times New Roman" w:ascii="Times New Roman" w:hAnsi="Times New Roman"/>
          <w:sz w:val="24"/>
          <w:szCs w:val="24"/>
        </w:rPr>
        <w:t xml:space="preserve"> sull’autorizzazione al trattamento dei dati personali, come riportato nello schema di cui all’Allegato 1 al presente 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d) la mancanza della firma del candidato sulla domanda (fatto salvo il caso in cui la domanda venga firmata digitalmente);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e) la mancanza del curriculum vitae;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f) la mancanza della copia del documento di identità;</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g) la presentazione della domanda e/o del curriculum vitae in formato diverso da pdf;</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h) la presentazione della domanda oltre il termine fissato dal presente 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 la trasmissione della domanda e degli allegati, all’indirizzo PEC indicato nell’Avviso, con un</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mezzo diverso dalla PEC;</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j) la trasmissione della domanda e degli allegati, ad un indirizzo PEC diverso da quello indicato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nell’Avviso;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k) essere collocato in quiescenza alla data di pubblicazione dell’Avviso.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3. La procedura selettiva sarà esperita attraverso la comparazione dei curricula e lo svolgimento di successivi colloqui e sarà affidata ad una Commissione esaminatrice che sarà nominata scaduti i termini di presentazione delle candidature.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La Commissione  sarà composta da tre membri, un Presidente e due Componenti, coadiuvati da un Segretario che possono svolgere i propri lavori anche con modalità telematiche o informatiche tramite l’impiego di tecnologie che permettono la partecipazione e comunicazione a distanza.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4. La Commissione procede alla valutazione attraverso le seguenti </w:t>
      </w:r>
      <w:r>
        <w:rPr>
          <w:rFonts w:cs="Times New Roman" w:ascii="Times New Roman" w:hAnsi="Times New Roman"/>
          <w:b/>
          <w:sz w:val="24"/>
          <w:szCs w:val="24"/>
        </w:rPr>
        <w:t>fasi: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b/>
          <w:sz w:val="24"/>
          <w:szCs w:val="24"/>
        </w:rPr>
        <w:t>fase a</w:t>
      </w:r>
      <w:r>
        <w:rPr>
          <w:rFonts w:cs="Times New Roman" w:ascii="Times New Roman" w:hAnsi="Times New Roman"/>
          <w:sz w:val="24"/>
          <w:szCs w:val="24"/>
        </w:rPr>
        <w:t xml:space="preserve">) valutazione dei titoli sulla base dei criteri indicati al successivo art.5 de dell’Avviso. È prevista l'assegnazione di un punteggio massimo di </w:t>
      </w:r>
      <w:r>
        <w:rPr>
          <w:rFonts w:cs="Times New Roman" w:ascii="Times New Roman" w:hAnsi="Times New Roman"/>
          <w:b/>
          <w:sz w:val="24"/>
          <w:szCs w:val="24"/>
        </w:rPr>
        <w:t>20 punti</w:t>
      </w:r>
      <w:r>
        <w:rPr>
          <w:rFonts w:cs="Times New Roman" w:ascii="Times New Roman" w:hAnsi="Times New Roman"/>
          <w:sz w:val="24"/>
          <w:szCs w:val="24"/>
        </w:rPr>
        <w:t>; sono valutate solo le esperienze di cui siano desumibili tutti i dati e le informazioni necessari e sufficienti per permettere alla Commissione di effettuare la valutazione, specificando l'Amministrazione/ente/soggetto per il quale si è prestata l’attività, il periodo (giorno, mese e anno di inizio e fine), l’oggetto dell’incarico e le attività svolte.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Concorrono alla valutazione i titoli indicati nella domanda, gli anni di attività professionale maturati e le esperienze maturate e descritte nel CV, che devono coincidere.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b/>
          <w:sz w:val="24"/>
          <w:szCs w:val="24"/>
        </w:rPr>
        <w:t>fase b)</w:t>
      </w:r>
      <w:r>
        <w:rPr>
          <w:rFonts w:cs="Times New Roman" w:ascii="Times New Roman" w:hAnsi="Times New Roman"/>
          <w:sz w:val="24"/>
          <w:szCs w:val="24"/>
        </w:rPr>
        <w:t xml:space="preserve"> colloquio individuale diretto a valutare le competenze ed esperienze dichiarate nel CV, nonché l'attitudine del candidato in relazione all'oggetto dell'incarico e alla specifiche competenze richieste. È prevista 1'assegnazione di un punteggio massimo di 3</w:t>
      </w:r>
      <w:r>
        <w:rPr>
          <w:rFonts w:cs="Times New Roman" w:ascii="Times New Roman" w:hAnsi="Times New Roman"/>
          <w:b/>
          <w:sz w:val="24"/>
          <w:szCs w:val="24"/>
        </w:rPr>
        <w:t>0 punti.</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Il punteggio massimo complessivo attribuibile nelle due fasi è di 50 punti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5. La Commissione, al termine della fase a) redige una prima graduatoria di merito contenente l’elenco dei nominativi dei candidati secondo l’ordine di merito.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6. Per la valutazione finale e sulla base delle risultanze della fase a), sono invitati al colloquio, attraverso comunicazione PEC, di cui alla fase b) un numero di candidati pari a </w:t>
      </w:r>
      <w:r>
        <w:rPr>
          <w:rFonts w:cs="Times New Roman" w:ascii="Times New Roman" w:hAnsi="Times New Roman"/>
          <w:sz w:val="24"/>
          <w:szCs w:val="24"/>
          <w:shd w:fill="auto" w:val="clear"/>
        </w:rPr>
        <w:t>5 volte i</w:t>
      </w:r>
      <w:r>
        <w:rPr>
          <w:rFonts w:cs="Times New Roman" w:ascii="Times New Roman" w:hAnsi="Times New Roman"/>
          <w:sz w:val="24"/>
          <w:szCs w:val="24"/>
        </w:rPr>
        <w:t>l numero della posizione richiesta, secondo l’ordine della citata graduatoria di merito, e saranno compresi le eventuali parità di punteggio.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Si procederà al colloquio anche in presenza di un solo candidato.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7. I candidati ammessi a colloquio (se del caso anche in modalità telematica) saranno convocati – con indicazione di data e di orario del colloquio - tramite PEC e i nominativi degli stessi pubblicati sul sito del Comune.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8. La rinuncia e/o l’assenza ingiustificata nella data e nell’ora stabilita del colloquio, comporta l’esclusione dalla procedura selettiva</w:t>
      </w:r>
    </w:p>
    <w:p>
      <w:pPr>
        <w:pStyle w:val="Normal"/>
        <w:rPr/>
      </w:pPr>
      <w:r>
        <w:rPr>
          <w:sz w:val="24"/>
          <w:szCs w:val="24"/>
        </w:rPr>
        <w:t xml:space="preserve">9. Al termine della fase b) la Commissione formula la rispettiva graduatoria finale, sommando i punteggi della fase a) e b). </w:t>
      </w:r>
      <w:r>
        <w:rPr>
          <w:rFonts w:eastAsia="Batang, 바탕"/>
          <w:iCs/>
          <w:sz w:val="24"/>
          <w:szCs w:val="24"/>
        </w:rPr>
        <w:t>Nella formulazione della graduatoria di merito la Commissione dovrà tenere conto di quanto previsto dall’art. 5 del DPR n. 487/94 e ss.mm. e ii. in materia di categorie riservatarie e preferenze.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La “graduatoria finale” è predisposta dalla Commissione secondo l’ordine di merito e contiene: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il “vincitore” ;</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gli “idonei” (coloro che, avendo superato le fasi a) e b), rimangono in posizione utile in caso di eventuale scorrimento della graduatoria.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10. Il RUP, verificata la legittimità della procedura, adotta il provvedimento di approvazione della graduatoria finale.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11. Il provvedimento contenente la “graduatoria finale” sarà pubblicato sul sito del Comune </w:t>
      </w:r>
      <w:hyperlink r:id="rId7">
        <w:r>
          <w:rPr>
            <w:rStyle w:val="CollegamentoInternet"/>
            <w:rFonts w:cs="Times New Roman" w:ascii="Times New Roman" w:hAnsi="Times New Roman"/>
            <w:sz w:val="24"/>
            <w:szCs w:val="24"/>
          </w:rPr>
          <w:t>www.comune.messina.it</w:t>
        </w:r>
      </w:hyperlink>
      <w:r>
        <w:rPr>
          <w:rFonts w:cs="Times New Roman" w:ascii="Times New Roman" w:hAnsi="Times New Roman"/>
          <w:sz w:val="24"/>
          <w:szCs w:val="24"/>
        </w:rPr>
        <w:t xml:space="preserve"> con valore di notifica a tutti gli effetti di legge. La medesima “graduatoria finale” avrà una durata di 36 mesi dalla data della pubblicazione.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12. Il Comune, per il vincitore, procede ad idonei controlli sulla veridicità di quanto dichiarato in sede di partecipazione e nel curriculum vitae. Si applicano, ove ve ne siano i presupposti, le  disposizioni di cui all'art. 76 del D.P.R. 445/2000 e s.m.i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In caso di conferimento dell'incarico, la stipula del contratto è subordinata alla presentazione da parte del candidato selezionato di una dichiarazione resa ai sensi e per gli effetti del DPR 445/2000 e s.m.i. riguardante, tra 1’altro, l’insussistenza di situazioni di conflitto di interesse, di incompatibilità. di cause di inconferibilità. Siffatte situazioni soggettive dovranno perdurare per l’intera durata dell’incarico.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Inoltre, laddove il candidato vincitore sia dipendente di pubblica amministrazione dovrà presentare ai sensi dell'art.53 del D.Lgs.165/2001, apposita autorizzazione da parte dell'amministrazioni di appartenenza, senza la quale non si potrà procedere alla contrattualizzazione dell’incarico.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13. Il presente Avviso e la successiva selezione non impegnano in alcun modo il Comune al conferimento dell’incarico e quest’ultimo si riserva la facoltà, a suo insindacabile giudizio, di sospendere o revocare in qualsiasi momento la selezione, tramite comunicazione sul sito istituzionale del Comune, senza che i concorrenti possano vantare alcun diritto.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14. L’esito positivo della selezione e l'utile inserimento in graduatoria non generano in alcun modo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l’obbligo di conferimento dell'incarico da parte del comune.</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Art. 5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Criteri di valutazione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Il Comune individuerà il soggetto a cui conferire l'incarico mediante procedura di selezione volta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in particolare a verificare la coerenza e la corrispondenza circa l'esperienza professionale in relazione alle competenze specifiche richieste e la coerenza con gli ambiti di intervento e le attività per cui il candidato si propone in base alle esperienze indicate nel curriculum.</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Fase a</w:t>
      </w:r>
      <w:r>
        <w:rPr>
          <w:rFonts w:cs="Times New Roman" w:ascii="Times New Roman" w:hAnsi="Times New Roman"/>
          <w:sz w:val="24"/>
          <w:szCs w:val="24"/>
        </w:rPr>
        <w:t xml:space="preserve">) </w:t>
      </w:r>
      <w:r>
        <w:rPr>
          <w:rFonts w:cs="Times New Roman" w:ascii="Times New Roman" w:hAnsi="Times New Roman"/>
          <w:b/>
          <w:sz w:val="24"/>
          <w:szCs w:val="24"/>
        </w:rPr>
        <w:t>valutazione dei titoli: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 Tutti i titoli di cui il candidato richiede la valutazione devono essere posseduti alla data di presentazione della domanda.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2. la valutazione dei titoli è effettuata dalla Commissione. Il punteggio attribuito per la valutazione dei titoli è reso noto a ciascun candidato mediante la pubblicazione della graduatoria parziale sul sito web del Comune, nella sezione Amministrazione Trasparente. Tale forma di pubblicità costituisce comunicazione ai candidati ad ogni effetto di legge.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3. I titoli valutabili, ai fini della stesura della graduatoria di merito, non potranno superare il valore massimo complessivo di punti 20. In particolare, ai fini della valutazione, i titoli sino suddivisi in tre categorie ed i complessivi 20 punti ad essi riservati sono così ripartiti.</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A) Titoli di studio e di formazione (max 5 punti)</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B) Esperienza lavorativa e titoli di servizio (max 13 punti)</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C) Titoli vari (max 2 punti)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4. Si precisa che saranno valutati solo i titoli il cui possesso è autocertificato ai sensi dell’art.47 D.P.R. 28 dicembre 2000, n.445. La documentazione sarà successivamente esibita dagli interessati nei termini richiesti dall’Amministrazione comunale.</w:t>
      </w:r>
    </w:p>
    <w:tbl>
      <w:tblPr>
        <w:tblW w:w="9636" w:type="dxa"/>
        <w:jc w:val="left"/>
        <w:tblInd w:w="112" w:type="dxa"/>
        <w:tblLayout w:type="fixed"/>
        <w:tblCellMar>
          <w:top w:w="0" w:type="dxa"/>
          <w:left w:w="5" w:type="dxa"/>
          <w:bottom w:w="0" w:type="dxa"/>
          <w:right w:w="5" w:type="dxa"/>
        </w:tblCellMar>
        <w:tblLook w:val="0000"/>
      </w:tblPr>
      <w:tblGrid>
        <w:gridCol w:w="6659"/>
        <w:gridCol w:w="2976"/>
      </w:tblGrid>
      <w:tr>
        <w:trPr>
          <w:trHeight w:val="562" w:hRule="exact"/>
        </w:trPr>
        <w:tc>
          <w:tcPr>
            <w:tcW w:w="9635" w:type="dxa"/>
            <w:gridSpan w:val="2"/>
            <w:tcBorders>
              <w:top w:val="single" w:sz="4" w:space="0" w:color="000000"/>
              <w:left w:val="single" w:sz="4" w:space="0" w:color="000000"/>
              <w:bottom w:val="single" w:sz="4" w:space="0" w:color="000000"/>
              <w:right w:val="single" w:sz="4" w:space="0" w:color="000000"/>
            </w:tcBorders>
            <w:shd w:color="auto" w:fill="ADAAAA" w:val="clear"/>
          </w:tcPr>
          <w:p>
            <w:pPr>
              <w:pStyle w:val="Normal"/>
              <w:widowControl w:val="false"/>
              <w:spacing w:lineRule="exact" w:line="274" w:before="0" w:after="0"/>
              <w:ind w:right="3686" w:hanging="0"/>
              <w:rPr>
                <w:rFonts w:ascii="Times New Roman" w:hAnsi="Times New Roman" w:cs="Times New Roman"/>
                <w:b/>
                <w:b/>
                <w:sz w:val="24"/>
                <w:szCs w:val="24"/>
              </w:rPr>
            </w:pPr>
            <w:r>
              <w:rPr>
                <w:rFonts w:cs="Times New Roman" w:ascii="Times New Roman" w:hAnsi="Times New Roman"/>
                <w:b/>
                <w:sz w:val="24"/>
                <w:szCs w:val="24"/>
              </w:rPr>
            </w:r>
          </w:p>
        </w:tc>
      </w:tr>
      <w:tr>
        <w:trPr>
          <w:trHeight w:val="562" w:hRule="exact"/>
        </w:trPr>
        <w:tc>
          <w:tcPr>
            <w:tcW w:w="6659" w:type="dxa"/>
            <w:tcBorders>
              <w:top w:val="single" w:sz="4" w:space="0" w:color="000000"/>
              <w:left w:val="single" w:sz="4" w:space="0" w:color="000000"/>
              <w:bottom w:val="single" w:sz="4" w:space="0" w:color="000000"/>
              <w:right w:val="single" w:sz="4" w:space="0" w:color="000000"/>
            </w:tcBorders>
            <w:shd w:color="auto" w:fill="F1F1F1" w:val="clear"/>
          </w:tcPr>
          <w:p>
            <w:pPr>
              <w:pStyle w:val="ListParagraph"/>
              <w:widowControl w:val="false"/>
              <w:numPr>
                <w:ilvl w:val="0"/>
                <w:numId w:val="1"/>
              </w:numPr>
              <w:spacing w:lineRule="exact" w:line="274" w:before="0" w:after="0"/>
              <w:ind w:left="465" w:right="-20" w:hanging="360"/>
              <w:contextualSpacing/>
              <w:rPr>
                <w:rFonts w:ascii="Times New Roman" w:hAnsi="Times New Roman" w:cs="Times New Roman"/>
                <w:sz w:val="24"/>
                <w:szCs w:val="24"/>
              </w:rPr>
            </w:pPr>
            <w:r>
              <w:rPr>
                <w:rFonts w:cs="Times New Roman" w:ascii="Times New Roman" w:hAnsi="Times New Roman"/>
                <w:b/>
                <w:bCs/>
                <w:sz w:val="24"/>
                <w:szCs w:val="24"/>
              </w:rPr>
              <w:t xml:space="preserve">Titoli </w:t>
            </w:r>
            <w:r>
              <w:rPr>
                <w:rFonts w:cs="Times New Roman" w:ascii="Times New Roman" w:hAnsi="Times New Roman"/>
                <w:b/>
                <w:bCs/>
                <w:spacing w:val="1"/>
                <w:sz w:val="24"/>
                <w:szCs w:val="24"/>
              </w:rPr>
              <w:t>d</w:t>
            </w:r>
            <w:r>
              <w:rPr>
                <w:rFonts w:cs="Times New Roman" w:ascii="Times New Roman" w:hAnsi="Times New Roman"/>
                <w:b/>
                <w:bCs/>
                <w:sz w:val="24"/>
                <w:szCs w:val="24"/>
              </w:rPr>
              <w:t>i st</w:t>
            </w:r>
            <w:r>
              <w:rPr>
                <w:rFonts w:cs="Times New Roman" w:ascii="Times New Roman" w:hAnsi="Times New Roman"/>
                <w:b/>
                <w:bCs/>
                <w:spacing w:val="-2"/>
                <w:sz w:val="24"/>
                <w:szCs w:val="24"/>
              </w:rPr>
              <w:t>u</w:t>
            </w:r>
            <w:r>
              <w:rPr>
                <w:rFonts w:cs="Times New Roman" w:ascii="Times New Roman" w:hAnsi="Times New Roman"/>
                <w:b/>
                <w:bCs/>
                <w:spacing w:val="1"/>
                <w:sz w:val="24"/>
                <w:szCs w:val="24"/>
              </w:rPr>
              <w:t>d</w:t>
            </w:r>
            <w:r>
              <w:rPr>
                <w:rFonts w:cs="Times New Roman" w:ascii="Times New Roman" w:hAnsi="Times New Roman"/>
                <w:b/>
                <w:bCs/>
                <w:sz w:val="24"/>
                <w:szCs w:val="24"/>
              </w:rPr>
              <w:t xml:space="preserve">io e </w:t>
            </w:r>
            <w:r>
              <w:rPr>
                <w:rFonts w:cs="Times New Roman" w:ascii="Times New Roman" w:hAnsi="Times New Roman"/>
                <w:b/>
                <w:bCs/>
                <w:spacing w:val="1"/>
                <w:sz w:val="24"/>
                <w:szCs w:val="24"/>
              </w:rPr>
              <w:t>d</w:t>
            </w:r>
            <w:r>
              <w:rPr>
                <w:rFonts w:cs="Times New Roman" w:ascii="Times New Roman" w:hAnsi="Times New Roman"/>
                <w:b/>
                <w:bCs/>
                <w:sz w:val="24"/>
                <w:szCs w:val="24"/>
              </w:rPr>
              <w:t xml:space="preserve">i </w:t>
            </w:r>
            <w:r>
              <w:rPr>
                <w:rFonts w:cs="Times New Roman" w:ascii="Times New Roman" w:hAnsi="Times New Roman"/>
                <w:b/>
                <w:bCs/>
                <w:spacing w:val="1"/>
                <w:sz w:val="24"/>
                <w:szCs w:val="24"/>
              </w:rPr>
              <w:t>f</w:t>
            </w:r>
            <w:r>
              <w:rPr>
                <w:rFonts w:cs="Times New Roman" w:ascii="Times New Roman" w:hAnsi="Times New Roman"/>
                <w:b/>
                <w:bCs/>
                <w:sz w:val="24"/>
                <w:szCs w:val="24"/>
              </w:rPr>
              <w:t>o</w:t>
            </w:r>
            <w:r>
              <w:rPr>
                <w:rFonts w:cs="Times New Roman" w:ascii="Times New Roman" w:hAnsi="Times New Roman"/>
                <w:b/>
                <w:bCs/>
                <w:spacing w:val="-1"/>
                <w:sz w:val="24"/>
                <w:szCs w:val="24"/>
              </w:rPr>
              <w:t>r</w:t>
            </w:r>
            <w:r>
              <w:rPr>
                <w:rFonts w:cs="Times New Roman" w:ascii="Times New Roman" w:hAnsi="Times New Roman"/>
                <w:b/>
                <w:bCs/>
                <w:spacing w:val="-3"/>
                <w:sz w:val="24"/>
                <w:szCs w:val="24"/>
              </w:rPr>
              <w:t>m</w:t>
            </w:r>
            <w:r>
              <w:rPr>
                <w:rFonts w:cs="Times New Roman" w:ascii="Times New Roman" w:hAnsi="Times New Roman"/>
                <w:b/>
                <w:bCs/>
                <w:spacing w:val="2"/>
                <w:sz w:val="24"/>
                <w:szCs w:val="24"/>
              </w:rPr>
              <w:t>a</w:t>
            </w:r>
            <w:r>
              <w:rPr>
                <w:rFonts w:cs="Times New Roman" w:ascii="Times New Roman" w:hAnsi="Times New Roman"/>
                <w:b/>
                <w:bCs/>
                <w:spacing w:val="-1"/>
                <w:sz w:val="24"/>
                <w:szCs w:val="24"/>
              </w:rPr>
              <w:t>z</w:t>
            </w:r>
            <w:r>
              <w:rPr>
                <w:rFonts w:cs="Times New Roman" w:ascii="Times New Roman" w:hAnsi="Times New Roman"/>
                <w:b/>
                <w:bCs/>
                <w:sz w:val="24"/>
                <w:szCs w:val="24"/>
              </w:rPr>
              <w:t>io</w:t>
            </w:r>
            <w:r>
              <w:rPr>
                <w:rFonts w:cs="Times New Roman" w:ascii="Times New Roman" w:hAnsi="Times New Roman"/>
                <w:b/>
                <w:bCs/>
                <w:spacing w:val="1"/>
                <w:sz w:val="24"/>
                <w:szCs w:val="24"/>
              </w:rPr>
              <w:t>n</w:t>
            </w:r>
            <w:r>
              <w:rPr>
                <w:rFonts w:cs="Times New Roman" w:ascii="Times New Roman" w:hAnsi="Times New Roman"/>
                <w:b/>
                <w:bCs/>
                <w:sz w:val="24"/>
                <w:szCs w:val="24"/>
              </w:rPr>
              <w:t>e</w:t>
            </w:r>
          </w:p>
        </w:tc>
        <w:tc>
          <w:tcPr>
            <w:tcW w:w="2976" w:type="dxa"/>
            <w:tcBorders>
              <w:top w:val="single" w:sz="4" w:space="0" w:color="000000"/>
              <w:left w:val="single" w:sz="4" w:space="0" w:color="000000"/>
              <w:bottom w:val="single" w:sz="4" w:space="0" w:color="000000"/>
              <w:right w:val="single" w:sz="4" w:space="0" w:color="000000"/>
            </w:tcBorders>
            <w:shd w:color="auto" w:fill="F1F1F1" w:val="clear"/>
          </w:tcPr>
          <w:p>
            <w:pPr>
              <w:pStyle w:val="Normal"/>
              <w:widowControl w:val="false"/>
              <w:spacing w:lineRule="exact" w:line="274" w:before="0" w:after="0"/>
              <w:ind w:left="105" w:right="-20" w:hanging="0"/>
              <w:rPr>
                <w:rFonts w:ascii="Times New Roman" w:hAnsi="Times New Roman" w:cs="Times New Roman"/>
                <w:sz w:val="24"/>
                <w:szCs w:val="24"/>
              </w:rPr>
            </w:pPr>
            <w:r>
              <w:rPr>
                <w:rFonts w:cs="Times New Roman" w:ascii="Times New Roman" w:hAnsi="Times New Roman"/>
                <w:b/>
                <w:bCs/>
                <w:spacing w:val="-3"/>
                <w:sz w:val="24"/>
                <w:szCs w:val="24"/>
              </w:rPr>
              <w:t>P</w:t>
            </w:r>
            <w:r>
              <w:rPr>
                <w:rFonts w:cs="Times New Roman" w:ascii="Times New Roman" w:hAnsi="Times New Roman"/>
                <w:b/>
                <w:bCs/>
                <w:spacing w:val="1"/>
                <w:sz w:val="24"/>
                <w:szCs w:val="24"/>
              </w:rPr>
              <w:t>un</w:t>
            </w:r>
            <w:r>
              <w:rPr>
                <w:rFonts w:cs="Times New Roman" w:ascii="Times New Roman" w:hAnsi="Times New Roman"/>
                <w:b/>
                <w:bCs/>
                <w:sz w:val="24"/>
                <w:szCs w:val="24"/>
              </w:rPr>
              <w:t xml:space="preserve">ti </w:t>
            </w:r>
            <w:r>
              <w:rPr>
                <w:rFonts w:cs="Times New Roman" w:ascii="Times New Roman" w:hAnsi="Times New Roman"/>
                <w:b/>
                <w:bCs/>
                <w:spacing w:val="-3"/>
                <w:sz w:val="24"/>
                <w:szCs w:val="24"/>
              </w:rPr>
              <w:t>m</w:t>
            </w:r>
            <w:r>
              <w:rPr>
                <w:rFonts w:cs="Times New Roman" w:ascii="Times New Roman" w:hAnsi="Times New Roman"/>
                <w:b/>
                <w:bCs/>
                <w:sz w:val="24"/>
                <w:szCs w:val="24"/>
              </w:rPr>
              <w:t>ax 5</w:t>
            </w:r>
          </w:p>
        </w:tc>
      </w:tr>
      <w:tr>
        <w:trPr>
          <w:trHeight w:val="2478" w:hRule="exact"/>
        </w:trPr>
        <w:tc>
          <w:tcPr>
            <w:tcW w:w="66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t>Voto conseguito:</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t>Da 100 a 105 punti</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t>Da 106 a 110</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t>110 e lode</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t>ulteriore titolo di studio (Laurea specialistica o Magistrale o Laurea</w:t>
            </w:r>
            <w:r>
              <w:rPr>
                <w:sz w:val="24"/>
                <w:szCs w:val="24"/>
              </w:rPr>
              <w:t xml:space="preserve"> </w:t>
            </w:r>
            <w:r>
              <w:rPr>
                <w:rFonts w:cs="Times New Roman" w:ascii="Times New Roman" w:hAnsi="Times New Roman"/>
                <w:sz w:val="24"/>
                <w:szCs w:val="24"/>
              </w:rPr>
              <w:t>a ciclo unico)</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t>Punti 0,5</w:t>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t>Punti 0,75</w:t>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t>Punti 1</w:t>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t>Punti 0,25</w:t>
            </w:r>
          </w:p>
        </w:tc>
      </w:tr>
      <w:tr>
        <w:trPr>
          <w:trHeight w:val="562" w:hRule="exact"/>
        </w:trPr>
        <w:tc>
          <w:tcPr>
            <w:tcW w:w="66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rPr>
              <w:t>Abilitazione all’esercizio della professione attinente profilo ricercato (se posseduta più di una abilitazione, è valutabile solo una di esse)</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69" w:before="0" w:after="0"/>
              <w:ind w:left="105" w:right="-20" w:hanging="0"/>
              <w:rPr>
                <w:rFonts w:ascii="Times New Roman" w:hAnsi="Times New Roman" w:cs="Times New Roman"/>
                <w:sz w:val="24"/>
                <w:szCs w:val="24"/>
              </w:rPr>
            </w:pPr>
            <w:r>
              <w:rPr>
                <w:rFonts w:cs="Times New Roman" w:ascii="Times New Roman" w:hAnsi="Times New Roman"/>
                <w:spacing w:val="1"/>
                <w:sz w:val="24"/>
                <w:szCs w:val="24"/>
              </w:rPr>
              <w:t>P</w:t>
            </w:r>
            <w:r>
              <w:rPr>
                <w:rFonts w:cs="Times New Roman" w:ascii="Times New Roman" w:hAnsi="Times New Roman"/>
                <w:sz w:val="24"/>
                <w:szCs w:val="24"/>
              </w:rPr>
              <w:t>unti 0,5</w:t>
            </w:r>
          </w:p>
        </w:tc>
      </w:tr>
      <w:tr>
        <w:trPr>
          <w:trHeight w:val="838" w:hRule="exact"/>
        </w:trPr>
        <w:tc>
          <w:tcPr>
            <w:tcW w:w="66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165" w:right="-20" w:hanging="0"/>
              <w:rPr>
                <w:rFonts w:ascii="Times New Roman" w:hAnsi="Times New Roman" w:cs="Times New Roman"/>
                <w:sz w:val="24"/>
                <w:szCs w:val="24"/>
              </w:rPr>
            </w:pPr>
            <w:r>
              <w:rPr>
                <w:rFonts w:cs="Times New Roman" w:ascii="Times New Roman" w:hAnsi="Times New Roman"/>
                <w:sz w:val="24"/>
                <w:szCs w:val="24"/>
              </w:rPr>
              <w:t>Master universitario di primo livello nelle materie/attività oggetto della selezione</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69" w:before="0" w:after="0"/>
              <w:ind w:left="105" w:right="-20" w:hanging="0"/>
              <w:rPr>
                <w:rFonts w:ascii="Times New Roman" w:hAnsi="Times New Roman" w:cs="Times New Roman"/>
                <w:sz w:val="24"/>
                <w:szCs w:val="24"/>
              </w:rPr>
            </w:pPr>
            <w:r>
              <w:rPr>
                <w:rFonts w:cs="Times New Roman" w:ascii="Times New Roman" w:hAnsi="Times New Roman"/>
                <w:spacing w:val="1"/>
                <w:sz w:val="24"/>
                <w:szCs w:val="24"/>
              </w:rPr>
              <w:t>P</w:t>
            </w:r>
            <w:r>
              <w:rPr>
                <w:rFonts w:cs="Times New Roman" w:ascii="Times New Roman" w:hAnsi="Times New Roman"/>
                <w:sz w:val="24"/>
                <w:szCs w:val="24"/>
              </w:rPr>
              <w:t>unti 0,75</w:t>
            </w:r>
          </w:p>
        </w:tc>
      </w:tr>
      <w:tr>
        <w:trPr>
          <w:trHeight w:val="838" w:hRule="exact"/>
        </w:trPr>
        <w:tc>
          <w:tcPr>
            <w:tcW w:w="66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165" w:right="-20" w:hanging="0"/>
              <w:rPr>
                <w:rFonts w:ascii="Times New Roman" w:hAnsi="Times New Roman" w:cs="Times New Roman"/>
                <w:sz w:val="24"/>
                <w:szCs w:val="24"/>
              </w:rPr>
            </w:pPr>
            <w:r>
              <w:rPr>
                <w:rFonts w:cs="Times New Roman" w:ascii="Times New Roman" w:hAnsi="Times New Roman"/>
                <w:sz w:val="24"/>
                <w:szCs w:val="24"/>
              </w:rPr>
              <w:t>Master universitario di secondo livello nelle materie/attività oggetto della selezione</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69" w:before="0" w:after="0"/>
              <w:ind w:left="105" w:right="-20" w:hanging="0"/>
              <w:rPr>
                <w:rFonts w:ascii="Times New Roman" w:hAnsi="Times New Roman" w:cs="Times New Roman"/>
                <w:spacing w:val="1"/>
                <w:sz w:val="24"/>
                <w:szCs w:val="24"/>
              </w:rPr>
            </w:pPr>
            <w:r>
              <w:rPr>
                <w:rFonts w:cs="Times New Roman" w:ascii="Times New Roman" w:hAnsi="Times New Roman"/>
                <w:spacing w:val="1"/>
                <w:sz w:val="24"/>
                <w:szCs w:val="24"/>
              </w:rPr>
              <w:t>Punto 1</w:t>
            </w:r>
          </w:p>
        </w:tc>
      </w:tr>
      <w:tr>
        <w:trPr>
          <w:trHeight w:val="1026" w:hRule="exact"/>
        </w:trPr>
        <w:tc>
          <w:tcPr>
            <w:tcW w:w="66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105" w:right="38" w:hanging="0"/>
              <w:rPr>
                <w:rFonts w:ascii="Times New Roman" w:hAnsi="Times New Roman" w:cs="Times New Roman"/>
                <w:sz w:val="24"/>
                <w:szCs w:val="24"/>
              </w:rPr>
            </w:pPr>
            <w:r>
              <w:rPr>
                <w:rFonts w:cs="Times New Roman" w:ascii="Times New Roman" w:hAnsi="Times New Roman"/>
                <w:sz w:val="24"/>
                <w:szCs w:val="24"/>
              </w:rPr>
              <w:t>Corsi di specializzazione nelle materie oggetto della selezione</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69" w:before="0" w:after="0"/>
              <w:ind w:left="105" w:right="-20" w:hanging="0"/>
              <w:rPr>
                <w:rFonts w:ascii="Times New Roman" w:hAnsi="Times New Roman" w:cs="Times New Roman"/>
                <w:sz w:val="24"/>
                <w:szCs w:val="24"/>
              </w:rPr>
            </w:pPr>
            <w:r>
              <w:rPr>
                <w:rFonts w:cs="Times New Roman" w:ascii="Times New Roman" w:hAnsi="Times New Roman"/>
                <w:spacing w:val="1"/>
                <w:sz w:val="24"/>
                <w:szCs w:val="24"/>
              </w:rPr>
              <w:t>P</w:t>
            </w:r>
            <w:r>
              <w:rPr>
                <w:rFonts w:cs="Times New Roman" w:ascii="Times New Roman" w:hAnsi="Times New Roman"/>
                <w:sz w:val="24"/>
                <w:szCs w:val="24"/>
              </w:rPr>
              <w:t>unti 1,5</w:t>
            </w:r>
          </w:p>
        </w:tc>
      </w:tr>
      <w:tr>
        <w:trPr>
          <w:trHeight w:val="714" w:hRule="exact"/>
        </w:trPr>
        <w:tc>
          <w:tcPr>
            <w:tcW w:w="66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105" w:right="38" w:hanging="0"/>
              <w:rPr>
                <w:rFonts w:ascii="Times New Roman" w:hAnsi="Times New Roman" w:cs="Times New Roman"/>
                <w:sz w:val="24"/>
                <w:szCs w:val="24"/>
              </w:rPr>
            </w:pPr>
            <w:r>
              <w:rPr>
                <w:rFonts w:cs="Times New Roman" w:ascii="Times New Roman" w:hAnsi="Times New Roman"/>
                <w:sz w:val="24"/>
                <w:szCs w:val="24"/>
              </w:rPr>
              <w:t>Dottorato di ricerca nelle materie oggetto della selezione</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69" w:before="0" w:after="0"/>
              <w:ind w:left="105" w:right="-20" w:hanging="0"/>
              <w:rPr>
                <w:rFonts w:ascii="Times New Roman" w:hAnsi="Times New Roman" w:cs="Times New Roman"/>
                <w:spacing w:val="1"/>
                <w:sz w:val="24"/>
                <w:szCs w:val="24"/>
              </w:rPr>
            </w:pPr>
            <w:r>
              <w:rPr>
                <w:rFonts w:cs="Times New Roman" w:ascii="Times New Roman" w:hAnsi="Times New Roman"/>
                <w:spacing w:val="1"/>
                <w:sz w:val="24"/>
                <w:szCs w:val="24"/>
              </w:rPr>
              <w:t>Punti 1,5</w:t>
            </w:r>
          </w:p>
        </w:tc>
      </w:tr>
    </w:tbl>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B)Esperienze lavorative e titoli di servizio (max 12 punti)</w:t>
      </w:r>
    </w:p>
    <w:p>
      <w:pPr>
        <w:pStyle w:val="Default"/>
        <w:jc w:val="both"/>
        <w:rPr/>
      </w:pPr>
      <w:r>
        <w:rPr/>
        <w:t xml:space="preserve">Saranno valutate le esperienze lavorative maturate nell’ambito dell’attività professionale autonoma e i titoli di servizio espletati nelle funzioni afferenti la posizione professionale messa a selezione, con rapporto di lavoro subordinato a tempo determinato o indeterminato, pieno o parziale, alle dirette dipendenze di pubbliche amministrazioni. </w:t>
      </w:r>
    </w:p>
    <w:p>
      <w:pPr>
        <w:pStyle w:val="Default"/>
        <w:jc w:val="both"/>
        <w:rPr/>
      </w:pPr>
      <w:r>
        <w:rPr>
          <w:b/>
          <w:bCs/>
        </w:rPr>
        <w:t xml:space="preserve">a) I punti i per i titoli di servizio saranno attributi come segue: </w:t>
      </w:r>
    </w:p>
    <w:p>
      <w:pPr>
        <w:pStyle w:val="Default"/>
        <w:ind w:left="465" w:hanging="0"/>
        <w:jc w:val="both"/>
        <w:rPr/>
      </w:pPr>
      <w:r>
        <w:rPr/>
      </w:r>
    </w:p>
    <w:p>
      <w:pPr>
        <w:pStyle w:val="Default"/>
        <w:jc w:val="both"/>
        <w:rPr/>
      </w:pPr>
      <w:r>
        <w:rPr/>
        <w:t xml:space="preserve">a.1 – Servizio prestato nella pubblica amministrazione con inquadramento nella qualifica dirigenziale nelle funzioni e attività della posizione messa a selezione con rapporto di lavoro a tempo indeterminato o determinato: </w:t>
      </w:r>
      <w:r>
        <w:rPr>
          <w:b/>
          <w:bCs/>
        </w:rPr>
        <w:t xml:space="preserve">Punti 0,20 per ogni mese o frazione superiore a 15 giorni; </w:t>
      </w:r>
    </w:p>
    <w:p>
      <w:pPr>
        <w:pStyle w:val="Default"/>
        <w:jc w:val="both"/>
        <w:rPr/>
      </w:pPr>
      <w:r>
        <w:rPr/>
        <w:t xml:space="preserve">a.2 – Servizio prestato nella pubblica amministrazione con inquadramento nella categoria direttiva con funzioni dirigenziali (Incarico di posizione organizzativa) nelle funzioni e attività della posizione messa a selezione con rapporto di lavoro a tempo indeterminato o determinato: </w:t>
      </w:r>
      <w:r>
        <w:rPr>
          <w:b/>
          <w:bCs/>
        </w:rPr>
        <w:t xml:space="preserve">Punti 0,15 per ogni mese o frazione superiore a 15 giorni; </w:t>
      </w:r>
    </w:p>
    <w:p>
      <w:pPr>
        <w:pStyle w:val="Default"/>
        <w:jc w:val="both"/>
        <w:rPr/>
      </w:pPr>
      <w:r>
        <w:rPr/>
        <w:t xml:space="preserve">a.3 – Servizio prestato nella pubblica amministrazione con inquadramento nella categoria direttiva nelle funzioni e attività della posizione messa a selezione con rapporto di lavoro a tempo indeterminato o determinato: </w:t>
      </w:r>
      <w:r>
        <w:rPr>
          <w:b/>
          <w:bCs/>
        </w:rPr>
        <w:t xml:space="preserve">Punti 0,10 per ogni mese o frazione superiore a 15 giorni; </w:t>
      </w:r>
    </w:p>
    <w:p>
      <w:pPr>
        <w:pStyle w:val="Default"/>
        <w:jc w:val="both"/>
        <w:rPr/>
      </w:pPr>
      <w:r>
        <w:rPr/>
        <w:t xml:space="preserve">I servizi con orario ridotto saranno valutati con gli stessi criteri, in proporzione. </w:t>
      </w:r>
    </w:p>
    <w:p>
      <w:pPr>
        <w:pStyle w:val="Default"/>
        <w:jc w:val="both"/>
        <w:rPr/>
      </w:pPr>
      <w:r>
        <w:rPr/>
      </w:r>
    </w:p>
    <w:p>
      <w:pPr>
        <w:pStyle w:val="Default"/>
        <w:jc w:val="both"/>
        <w:rPr/>
      </w:pPr>
      <w:r>
        <w:rPr/>
        <w:t xml:space="preserve">b) </w:t>
      </w:r>
      <w:r>
        <w:rPr>
          <w:b/>
        </w:rPr>
        <w:t>Attività professionale autonoma, di consulenza professionale e di studio</w:t>
      </w:r>
      <w:r>
        <w:rPr/>
        <w:t xml:space="preserve">. </w:t>
      </w:r>
    </w:p>
    <w:p>
      <w:pPr>
        <w:pStyle w:val="Default"/>
        <w:jc w:val="both"/>
        <w:rPr>
          <w:iCs/>
          <w:sz w:val="22"/>
          <w:szCs w:val="22"/>
        </w:rPr>
      </w:pPr>
      <w:r>
        <w:rPr>
          <w:iCs/>
          <w:sz w:val="22"/>
          <w:szCs w:val="22"/>
        </w:rPr>
      </w:r>
    </w:p>
    <w:p>
      <w:pPr>
        <w:pStyle w:val="Default"/>
        <w:jc w:val="both"/>
        <w:rPr/>
      </w:pPr>
      <w:r>
        <w:rPr>
          <w:bCs/>
        </w:rPr>
        <w:t>b.1 –</w:t>
      </w:r>
      <w:r>
        <w:rPr>
          <w:b/>
          <w:bCs/>
        </w:rPr>
        <w:t xml:space="preserve"> Punti </w:t>
      </w:r>
      <w:r>
        <w:rPr>
          <w:rFonts w:eastAsia="Calibri"/>
          <w:b/>
          <w:bCs/>
        </w:rPr>
        <w:t xml:space="preserve">0,60 </w:t>
      </w:r>
      <w:r>
        <w:rPr>
          <w:rFonts w:eastAsia="Calibri"/>
        </w:rPr>
        <w:t xml:space="preserve"> per ogni anno di esperienza professionale, attinente al profilo professionale </w:t>
      </w:r>
      <w:r>
        <w:rPr/>
        <w:t>ricercato</w:t>
      </w:r>
      <w:r>
        <w:rPr>
          <w:rFonts w:eastAsia="Calibri"/>
        </w:rPr>
        <w:t>, comprovabile, in fase di verifica dei titoli, a mezzo di contratti di lavoro flessibile (a tempo determinato, di formazione e lavoro, di somministrazione lavoro, contratto di collaborazione, etc.) o  incarichi professionali stipulati con altre pubbliche amministrazioni o con soggetti privati</w:t>
      </w:r>
      <w:r>
        <w:rPr/>
        <w:t>.</w:t>
      </w:r>
    </w:p>
    <w:p>
      <w:pPr>
        <w:pStyle w:val="Normal"/>
        <w:jc w:val="both"/>
        <w:rPr>
          <w:rFonts w:ascii="Times New Roman" w:hAnsi="Times New Roman" w:eastAsia="Calibri" w:cs="Times New Roman"/>
          <w:sz w:val="24"/>
          <w:szCs w:val="24"/>
        </w:rPr>
      </w:pPr>
      <w:r>
        <w:rPr>
          <w:rFonts w:eastAsia="Calibri" w:cs="Times New Roman" w:ascii="Times New Roman" w:hAnsi="Times New Roman"/>
          <w:sz w:val="24"/>
          <w:szCs w:val="24"/>
        </w:rPr>
        <w:t>Per la valutazione dei titoli professionali si applicano i seguenti principi:</w:t>
      </w:r>
    </w:p>
    <w:p>
      <w:pPr>
        <w:pStyle w:val="Normal"/>
        <w:spacing w:before="0" w:after="0"/>
        <w:jc w:val="both"/>
        <w:rPr>
          <w:rFonts w:ascii="Times New Roman" w:hAnsi="Times New Roman" w:eastAsia="Calibri" w:cs="Times New Roman"/>
          <w:sz w:val="24"/>
          <w:szCs w:val="24"/>
        </w:rPr>
      </w:pPr>
      <w:r>
        <w:rPr>
          <w:rFonts w:eastAsia="Calibri" w:cs="Times New Roman" w:ascii="Times New Roman" w:hAnsi="Times New Roman"/>
          <w:b/>
          <w:bCs/>
          <w:sz w:val="24"/>
          <w:szCs w:val="24"/>
        </w:rPr>
        <w:t>a)</w:t>
      </w:r>
      <w:r>
        <w:rPr>
          <w:rFonts w:eastAsia="Calibri" w:cs="Times New Roman" w:ascii="Times New Roman" w:hAnsi="Times New Roman"/>
          <w:sz w:val="24"/>
          <w:szCs w:val="24"/>
        </w:rPr>
        <w:t xml:space="preserve">il computo degli anni di esperienza professionale è dato dalla somma di tutti i mesi di lavoro anche non continuativi diviso per 12; </w:t>
      </w:r>
    </w:p>
    <w:p>
      <w:pPr>
        <w:pStyle w:val="Normal"/>
        <w:spacing w:before="0" w:after="0"/>
        <w:jc w:val="both"/>
        <w:rPr>
          <w:rFonts w:ascii="Times New Roman" w:hAnsi="Times New Roman" w:eastAsia="Calibri" w:cs="Times New Roman"/>
          <w:sz w:val="24"/>
          <w:szCs w:val="24"/>
        </w:rPr>
      </w:pPr>
      <w:r>
        <w:rPr>
          <w:rFonts w:eastAsia="Calibri" w:cs="Times New Roman" w:ascii="Times New Roman" w:hAnsi="Times New Roman"/>
          <w:b/>
          <w:bCs/>
          <w:sz w:val="24"/>
          <w:szCs w:val="24"/>
        </w:rPr>
        <w:t>b)</w:t>
      </w:r>
      <w:r>
        <w:rPr>
          <w:rFonts w:eastAsia="Calibri" w:cs="Times New Roman" w:ascii="Times New Roman" w:hAnsi="Times New Roman"/>
          <w:sz w:val="24"/>
          <w:szCs w:val="24"/>
        </w:rPr>
        <w:t>le frazioni di anno sono valutate in ragione mensile e valgono ove superiori a sei mesi, considerando, come mese intero, periodi continuativi di giorni trenta o frazioni superiori a quindici giorni;</w:t>
      </w:r>
    </w:p>
    <w:p>
      <w:pPr>
        <w:pStyle w:val="Normal"/>
        <w:spacing w:before="0" w:after="0"/>
        <w:jc w:val="both"/>
        <w:rPr>
          <w:rFonts w:ascii="Times New Roman" w:hAnsi="Times New Roman" w:eastAsia="Calibri" w:cs="Times New Roman"/>
          <w:sz w:val="24"/>
          <w:szCs w:val="24"/>
        </w:rPr>
      </w:pPr>
      <w:r>
        <w:rPr>
          <w:rFonts w:eastAsia="Calibri" w:cs="Times New Roman" w:ascii="Times New Roman" w:hAnsi="Times New Roman"/>
          <w:b/>
          <w:bCs/>
          <w:sz w:val="24"/>
          <w:szCs w:val="24"/>
        </w:rPr>
        <w:t>c)</w:t>
      </w:r>
      <w:r>
        <w:rPr>
          <w:rFonts w:eastAsia="Calibri" w:cs="Times New Roman" w:ascii="Times New Roman" w:hAnsi="Times New Roman"/>
          <w:sz w:val="24"/>
          <w:szCs w:val="24"/>
        </w:rPr>
        <w:t>in caso di contemporaneità, i periodi di lavoro in sovrapposizione si contano una sola volta;</w:t>
      </w:r>
    </w:p>
    <w:p>
      <w:pPr>
        <w:pStyle w:val="Standard"/>
        <w:suppressAutoHyphens w:val="false"/>
        <w:jc w:val="both"/>
        <w:rPr>
          <w:rFonts w:eastAsia="Batang, 바탕"/>
          <w:spacing w:val="0"/>
          <w:szCs w:val="24"/>
          <w:lang w:eastAsia="it-IT"/>
        </w:rPr>
      </w:pPr>
      <w:r>
        <w:rPr>
          <w:rFonts w:eastAsia="Calibri"/>
          <w:b/>
          <w:bCs/>
          <w:color w:val="auto"/>
          <w:spacing w:val="0"/>
          <w:szCs w:val="24"/>
          <w:lang w:eastAsia="en-US"/>
        </w:rPr>
        <w:t>d)</w:t>
      </w:r>
      <w:r>
        <w:rPr>
          <w:rFonts w:eastAsia="Calibri"/>
          <w:color w:val="auto"/>
          <w:spacing w:val="0"/>
          <w:szCs w:val="24"/>
          <w:lang w:eastAsia="en-US"/>
        </w:rPr>
        <w:t>qualora non vengano dichiarati gli esatti termini temporali di inizio e fine saranno valutati, in carenza del giorno di inizio o di fine, un solo giorno del mese; in carenza del mese di inizio o di fine, un solo giorno dell’anno.</w:t>
      </w:r>
    </w:p>
    <w:p>
      <w:pPr>
        <w:pStyle w:val="Default"/>
        <w:jc w:val="both"/>
        <w:rPr/>
      </w:pPr>
      <w:r>
        <w:rPr/>
      </w:r>
    </w:p>
    <w:p>
      <w:pPr>
        <w:pStyle w:val="Default"/>
        <w:rPr>
          <w:b/>
          <w:b/>
          <w:bCs/>
        </w:rPr>
      </w:pPr>
      <w:r>
        <w:rPr>
          <w:b/>
          <w:bCs/>
        </w:rPr>
      </w:r>
    </w:p>
    <w:p>
      <w:pPr>
        <w:pStyle w:val="Default"/>
        <w:rPr>
          <w:b/>
          <w:b/>
        </w:rPr>
      </w:pPr>
      <w:r>
        <w:rPr>
          <w:b/>
          <w:bCs/>
        </w:rPr>
        <w:t xml:space="preserve">C. TITOLI VARI (MAX 2 PUNTI) </w:t>
      </w:r>
    </w:p>
    <w:p>
      <w:pPr>
        <w:pStyle w:val="Default"/>
        <w:jc w:val="both"/>
        <w:rPr>
          <w:sz w:val="22"/>
          <w:szCs w:val="22"/>
        </w:rPr>
      </w:pPr>
      <w:r>
        <w:rPr>
          <w:sz w:val="22"/>
          <w:szCs w:val="22"/>
        </w:rPr>
        <w:t xml:space="preserve">Saranno valutati positivamente esclusivamente i titoli attinenti al profilo per il quale si concorre. </w:t>
      </w:r>
    </w:p>
    <w:p>
      <w:pPr>
        <w:pStyle w:val="Default"/>
        <w:jc w:val="both"/>
        <w:rPr>
          <w:b/>
          <w:b/>
          <w:bCs/>
          <w:sz w:val="22"/>
          <w:szCs w:val="22"/>
        </w:rPr>
      </w:pPr>
      <w:r>
        <w:rPr>
          <w:b/>
          <w:bCs/>
          <w:sz w:val="22"/>
          <w:szCs w:val="22"/>
        </w:rPr>
      </w:r>
    </w:p>
    <w:tbl>
      <w:tblPr>
        <w:tblStyle w:val="Grigliatabella"/>
        <w:tblW w:w="9778" w:type="dxa"/>
        <w:jc w:val="left"/>
        <w:tblInd w:w="0" w:type="dxa"/>
        <w:tblLayout w:type="fixed"/>
        <w:tblCellMar>
          <w:top w:w="0" w:type="dxa"/>
          <w:left w:w="108" w:type="dxa"/>
          <w:bottom w:w="0" w:type="dxa"/>
          <w:right w:w="108" w:type="dxa"/>
        </w:tblCellMar>
        <w:tblLook w:val="04a0"/>
      </w:tblPr>
      <w:tblGrid>
        <w:gridCol w:w="4889"/>
        <w:gridCol w:w="4888"/>
      </w:tblGrid>
      <w:tr>
        <w:trPr/>
        <w:tc>
          <w:tcPr>
            <w:tcW w:w="4889" w:type="dxa"/>
            <w:tcBorders/>
          </w:tcPr>
          <w:p>
            <w:pPr>
              <w:pStyle w:val="Default"/>
              <w:widowControl w:val="false"/>
              <w:suppressAutoHyphens w:val="true"/>
              <w:spacing w:before="0" w:after="0"/>
              <w:jc w:val="both"/>
              <w:rPr>
                <w:b/>
                <w:b/>
                <w:bCs/>
                <w:sz w:val="22"/>
                <w:szCs w:val="22"/>
              </w:rPr>
            </w:pPr>
            <w:r>
              <w:rPr>
                <w:rFonts w:eastAsia="Calibri"/>
                <w:b/>
                <w:bCs/>
                <w:kern w:val="0"/>
                <w:sz w:val="22"/>
                <w:szCs w:val="22"/>
                <w:lang w:val="it-IT" w:eastAsia="en-US" w:bidi="ar-SA"/>
              </w:rPr>
              <w:t>TITOLI VARI</w:t>
            </w:r>
          </w:p>
        </w:tc>
        <w:tc>
          <w:tcPr>
            <w:tcW w:w="4888" w:type="dxa"/>
            <w:tcBorders/>
          </w:tcPr>
          <w:p>
            <w:pPr>
              <w:pStyle w:val="Default"/>
              <w:widowControl w:val="false"/>
              <w:suppressAutoHyphens w:val="true"/>
              <w:spacing w:before="0" w:after="0"/>
              <w:jc w:val="both"/>
              <w:rPr>
                <w:b/>
                <w:b/>
                <w:bCs/>
                <w:sz w:val="22"/>
                <w:szCs w:val="22"/>
              </w:rPr>
            </w:pPr>
            <w:r>
              <w:rPr>
                <w:rFonts w:eastAsia="Calibri"/>
                <w:b/>
                <w:bCs/>
                <w:kern w:val="0"/>
                <w:sz w:val="22"/>
                <w:szCs w:val="22"/>
                <w:lang w:val="it-IT" w:eastAsia="en-US" w:bidi="ar-SA"/>
              </w:rPr>
              <w:t>PUNTEGGIO</w:t>
            </w:r>
          </w:p>
        </w:tc>
      </w:tr>
      <w:tr>
        <w:trPr/>
        <w:tc>
          <w:tcPr>
            <w:tcW w:w="4889" w:type="dxa"/>
            <w:tcBorders/>
          </w:tcPr>
          <w:p>
            <w:pPr>
              <w:pStyle w:val="Default"/>
              <w:widowControl w:val="false"/>
              <w:suppressAutoHyphens w:val="true"/>
              <w:spacing w:before="0" w:after="0"/>
              <w:jc w:val="both"/>
              <w:rPr>
                <w:rFonts w:eastAsia="Calibri"/>
                <w:kern w:val="0"/>
                <w:lang w:val="it-IT" w:eastAsia="en-US" w:bidi="ar-SA"/>
              </w:rPr>
            </w:pPr>
            <w:r>
              <w:rPr>
                <w:rFonts w:eastAsia="Calibri"/>
                <w:kern w:val="0"/>
                <w:sz w:val="22"/>
                <w:szCs w:val="22"/>
                <w:lang w:val="it-IT" w:eastAsia="en-US" w:bidi="ar-SA"/>
              </w:rPr>
              <w:t>Pubblicazioni scientifiche nelle materie oggetto del posto messo a selezione</w:t>
            </w:r>
          </w:p>
          <w:p>
            <w:pPr>
              <w:pStyle w:val="Default"/>
              <w:widowControl w:val="false"/>
              <w:suppressAutoHyphens w:val="true"/>
              <w:spacing w:before="0" w:after="0"/>
              <w:jc w:val="both"/>
              <w:rPr>
                <w:b/>
                <w:b/>
                <w:bCs/>
                <w:sz w:val="22"/>
                <w:szCs w:val="22"/>
              </w:rPr>
            </w:pPr>
            <w:r>
              <w:rPr>
                <w:b/>
                <w:bCs/>
                <w:sz w:val="22"/>
                <w:szCs w:val="22"/>
              </w:rPr>
            </w:r>
          </w:p>
        </w:tc>
        <w:tc>
          <w:tcPr>
            <w:tcW w:w="4888" w:type="dxa"/>
            <w:tcBorders/>
          </w:tcPr>
          <w:p>
            <w:pPr>
              <w:pStyle w:val="Default"/>
              <w:widowControl w:val="false"/>
              <w:suppressAutoHyphens w:val="true"/>
              <w:spacing w:before="0" w:after="0"/>
              <w:jc w:val="both"/>
              <w:rPr>
                <w:rFonts w:eastAsia="Calibri"/>
                <w:kern w:val="0"/>
                <w:lang w:val="it-IT" w:eastAsia="en-US" w:bidi="ar-SA"/>
              </w:rPr>
            </w:pPr>
            <w:r>
              <w:rPr>
                <w:rFonts w:eastAsia="Calibri"/>
                <w:i/>
                <w:iCs/>
                <w:kern w:val="0"/>
                <w:sz w:val="22"/>
                <w:szCs w:val="22"/>
                <w:lang w:val="it-IT" w:eastAsia="en-US" w:bidi="ar-SA"/>
              </w:rPr>
              <w:t>Punti 0,10 per ogni titolo</w:t>
            </w:r>
          </w:p>
          <w:p>
            <w:pPr>
              <w:pStyle w:val="Default"/>
              <w:widowControl w:val="false"/>
              <w:suppressAutoHyphens w:val="true"/>
              <w:spacing w:before="0" w:after="0"/>
              <w:jc w:val="both"/>
              <w:rPr>
                <w:b/>
                <w:b/>
                <w:bCs/>
                <w:sz w:val="22"/>
                <w:szCs w:val="22"/>
              </w:rPr>
            </w:pPr>
            <w:r>
              <w:rPr>
                <w:b/>
                <w:bCs/>
                <w:sz w:val="22"/>
                <w:szCs w:val="22"/>
              </w:rPr>
            </w:r>
          </w:p>
        </w:tc>
      </w:tr>
      <w:tr>
        <w:trPr/>
        <w:tc>
          <w:tcPr>
            <w:tcW w:w="4889" w:type="dxa"/>
            <w:tcBorders/>
          </w:tcPr>
          <w:p>
            <w:pPr>
              <w:pStyle w:val="Default"/>
              <w:widowControl w:val="false"/>
              <w:suppressAutoHyphens w:val="true"/>
              <w:spacing w:before="0" w:after="0"/>
              <w:jc w:val="both"/>
              <w:rPr>
                <w:rFonts w:eastAsia="Calibri"/>
                <w:kern w:val="0"/>
                <w:lang w:val="it-IT" w:eastAsia="en-US" w:bidi="ar-SA"/>
              </w:rPr>
            </w:pPr>
            <w:r>
              <w:rPr>
                <w:rFonts w:eastAsia="Calibri"/>
                <w:kern w:val="0"/>
                <w:sz w:val="22"/>
                <w:szCs w:val="22"/>
                <w:lang w:val="it-IT" w:eastAsia="en-US" w:bidi="ar-SA"/>
              </w:rPr>
              <w:t>Certificazione Lingua inglese B1</w:t>
            </w:r>
          </w:p>
          <w:p>
            <w:pPr>
              <w:pStyle w:val="Default"/>
              <w:widowControl w:val="false"/>
              <w:suppressAutoHyphens w:val="true"/>
              <w:spacing w:before="0" w:after="0"/>
              <w:jc w:val="both"/>
              <w:rPr>
                <w:b/>
                <w:b/>
                <w:bCs/>
                <w:sz w:val="22"/>
                <w:szCs w:val="22"/>
              </w:rPr>
            </w:pPr>
            <w:r>
              <w:rPr>
                <w:b/>
                <w:bCs/>
                <w:sz w:val="22"/>
                <w:szCs w:val="22"/>
              </w:rPr>
            </w:r>
          </w:p>
        </w:tc>
        <w:tc>
          <w:tcPr>
            <w:tcW w:w="4888" w:type="dxa"/>
            <w:tcBorders/>
          </w:tcPr>
          <w:p>
            <w:pPr>
              <w:pStyle w:val="Default"/>
              <w:widowControl w:val="false"/>
              <w:suppressAutoHyphens w:val="true"/>
              <w:spacing w:before="0" w:after="0"/>
              <w:jc w:val="both"/>
              <w:rPr>
                <w:rFonts w:eastAsia="Calibri"/>
                <w:kern w:val="0"/>
                <w:lang w:val="it-IT" w:eastAsia="en-US" w:bidi="ar-SA"/>
              </w:rPr>
            </w:pPr>
            <w:r>
              <w:rPr>
                <w:rFonts w:eastAsia="Calibri"/>
                <w:i/>
                <w:iCs/>
                <w:kern w:val="0"/>
                <w:sz w:val="22"/>
                <w:szCs w:val="22"/>
                <w:lang w:val="it-IT" w:eastAsia="en-US" w:bidi="ar-SA"/>
              </w:rPr>
              <w:t>Punti 0,50 per ogni titolo</w:t>
            </w:r>
          </w:p>
          <w:p>
            <w:pPr>
              <w:pStyle w:val="Default"/>
              <w:widowControl w:val="false"/>
              <w:suppressAutoHyphens w:val="true"/>
              <w:spacing w:before="0" w:after="0"/>
              <w:jc w:val="both"/>
              <w:rPr>
                <w:b/>
                <w:b/>
                <w:bCs/>
                <w:sz w:val="22"/>
                <w:szCs w:val="22"/>
              </w:rPr>
            </w:pPr>
            <w:r>
              <w:rPr>
                <w:b/>
                <w:bCs/>
                <w:sz w:val="22"/>
                <w:szCs w:val="22"/>
              </w:rPr>
            </w:r>
          </w:p>
        </w:tc>
      </w:tr>
      <w:tr>
        <w:trPr/>
        <w:tc>
          <w:tcPr>
            <w:tcW w:w="4889" w:type="dxa"/>
            <w:tcBorders/>
          </w:tcPr>
          <w:p>
            <w:pPr>
              <w:pStyle w:val="Default"/>
              <w:widowControl w:val="false"/>
              <w:suppressAutoHyphens w:val="true"/>
              <w:spacing w:before="0" w:after="0"/>
              <w:jc w:val="both"/>
              <w:rPr>
                <w:rFonts w:eastAsia="Calibri"/>
                <w:kern w:val="0"/>
                <w:lang w:val="it-IT" w:eastAsia="en-US" w:bidi="ar-SA"/>
              </w:rPr>
            </w:pPr>
            <w:r>
              <w:rPr>
                <w:rFonts w:eastAsia="Calibri"/>
                <w:kern w:val="0"/>
                <w:sz w:val="22"/>
                <w:szCs w:val="22"/>
                <w:lang w:val="it-IT" w:eastAsia="en-US" w:bidi="ar-SA"/>
              </w:rPr>
              <w:t>Idoneità acquisita nei concorsi pubblici per rapporto di lavoro a tempo indeterminato per qualifica dirigenziale o per categoria rientrante nell’area direttiva per la posizione professionale relativa al posto messo a concorso</w:t>
            </w:r>
          </w:p>
          <w:p>
            <w:pPr>
              <w:pStyle w:val="Default"/>
              <w:widowControl w:val="false"/>
              <w:suppressAutoHyphens w:val="true"/>
              <w:spacing w:before="0" w:after="0"/>
              <w:jc w:val="both"/>
              <w:rPr>
                <w:b/>
                <w:b/>
                <w:bCs/>
                <w:sz w:val="22"/>
                <w:szCs w:val="22"/>
              </w:rPr>
            </w:pPr>
            <w:r>
              <w:rPr>
                <w:b/>
                <w:bCs/>
                <w:sz w:val="22"/>
                <w:szCs w:val="22"/>
              </w:rPr>
            </w:r>
          </w:p>
        </w:tc>
        <w:tc>
          <w:tcPr>
            <w:tcW w:w="4888" w:type="dxa"/>
            <w:tcBorders/>
          </w:tcPr>
          <w:p>
            <w:pPr>
              <w:pStyle w:val="Default"/>
              <w:widowControl w:val="false"/>
              <w:suppressAutoHyphens w:val="true"/>
              <w:spacing w:before="0" w:after="0"/>
              <w:jc w:val="both"/>
              <w:rPr>
                <w:rFonts w:eastAsia="Calibri"/>
                <w:kern w:val="0"/>
                <w:lang w:val="it-IT" w:eastAsia="en-US" w:bidi="ar-SA"/>
              </w:rPr>
            </w:pPr>
            <w:r>
              <w:rPr>
                <w:rFonts w:eastAsia="Calibri"/>
                <w:i/>
                <w:iCs/>
                <w:kern w:val="0"/>
                <w:sz w:val="22"/>
                <w:szCs w:val="22"/>
                <w:lang w:val="it-IT" w:eastAsia="en-US" w:bidi="ar-SA"/>
              </w:rPr>
              <w:t>Punti 0,10 per ogni titolo</w:t>
            </w:r>
          </w:p>
          <w:p>
            <w:pPr>
              <w:pStyle w:val="Default"/>
              <w:widowControl w:val="false"/>
              <w:suppressAutoHyphens w:val="true"/>
              <w:spacing w:before="0" w:after="0"/>
              <w:jc w:val="both"/>
              <w:rPr>
                <w:b/>
                <w:b/>
                <w:bCs/>
                <w:sz w:val="22"/>
                <w:szCs w:val="22"/>
              </w:rPr>
            </w:pPr>
            <w:r>
              <w:rPr>
                <w:b/>
                <w:bCs/>
                <w:sz w:val="22"/>
                <w:szCs w:val="22"/>
              </w:rPr>
            </w:r>
          </w:p>
        </w:tc>
      </w:tr>
      <w:tr>
        <w:trPr/>
        <w:tc>
          <w:tcPr>
            <w:tcW w:w="4889" w:type="dxa"/>
            <w:tcBorders/>
          </w:tcPr>
          <w:p>
            <w:pPr>
              <w:pStyle w:val="Default"/>
              <w:widowControl w:val="false"/>
              <w:suppressAutoHyphens w:val="true"/>
              <w:spacing w:before="0" w:after="0"/>
              <w:jc w:val="both"/>
              <w:rPr>
                <w:rFonts w:eastAsia="Calibri"/>
                <w:kern w:val="0"/>
                <w:lang w:val="it-IT" w:eastAsia="en-US" w:bidi="ar-SA"/>
              </w:rPr>
            </w:pPr>
            <w:r>
              <w:rPr>
                <w:rFonts w:eastAsia="Calibri"/>
                <w:kern w:val="0"/>
                <w:sz w:val="22"/>
                <w:szCs w:val="22"/>
                <w:lang w:val="it-IT" w:eastAsia="en-US" w:bidi="ar-SA"/>
              </w:rPr>
              <w:t>Attestati di docenza in corsi di formazione professionale sulle materie oggetto della selezione</w:t>
            </w:r>
          </w:p>
          <w:p>
            <w:pPr>
              <w:pStyle w:val="Default"/>
              <w:widowControl w:val="false"/>
              <w:suppressAutoHyphens w:val="true"/>
              <w:spacing w:before="0" w:after="0"/>
              <w:jc w:val="both"/>
              <w:rPr>
                <w:b/>
                <w:b/>
                <w:bCs/>
                <w:sz w:val="22"/>
                <w:szCs w:val="22"/>
              </w:rPr>
            </w:pPr>
            <w:r>
              <w:rPr>
                <w:b/>
                <w:bCs/>
                <w:sz w:val="22"/>
                <w:szCs w:val="22"/>
              </w:rPr>
            </w:r>
          </w:p>
        </w:tc>
        <w:tc>
          <w:tcPr>
            <w:tcW w:w="4888" w:type="dxa"/>
            <w:tcBorders/>
          </w:tcPr>
          <w:p>
            <w:pPr>
              <w:pStyle w:val="Default"/>
              <w:widowControl w:val="false"/>
              <w:suppressAutoHyphens w:val="true"/>
              <w:spacing w:before="0" w:after="0"/>
              <w:jc w:val="both"/>
              <w:rPr>
                <w:rFonts w:eastAsia="Calibri"/>
                <w:kern w:val="0"/>
                <w:lang w:val="it-IT" w:eastAsia="en-US" w:bidi="ar-SA"/>
              </w:rPr>
            </w:pPr>
            <w:r>
              <w:rPr>
                <w:rFonts w:eastAsia="Calibri"/>
                <w:i/>
                <w:iCs/>
                <w:kern w:val="0"/>
                <w:sz w:val="22"/>
                <w:szCs w:val="22"/>
                <w:lang w:val="it-IT" w:eastAsia="en-US" w:bidi="ar-SA"/>
              </w:rPr>
              <w:t>Punti 0,10 per ogni titolo</w:t>
            </w:r>
          </w:p>
          <w:p>
            <w:pPr>
              <w:pStyle w:val="Default"/>
              <w:widowControl w:val="false"/>
              <w:suppressAutoHyphens w:val="true"/>
              <w:spacing w:before="0" w:after="0"/>
              <w:jc w:val="both"/>
              <w:rPr>
                <w:b/>
                <w:b/>
                <w:bCs/>
                <w:sz w:val="22"/>
                <w:szCs w:val="22"/>
              </w:rPr>
            </w:pPr>
            <w:r>
              <w:rPr>
                <w:b/>
                <w:bCs/>
                <w:sz w:val="22"/>
                <w:szCs w:val="22"/>
              </w:rPr>
            </w:r>
          </w:p>
        </w:tc>
      </w:tr>
    </w:tbl>
    <w:p>
      <w:pPr>
        <w:pStyle w:val="Default"/>
        <w:jc w:val="both"/>
        <w:rPr>
          <w:b/>
          <w:b/>
          <w:bCs/>
          <w:sz w:val="22"/>
          <w:szCs w:val="22"/>
        </w:rPr>
      </w:pPr>
      <w:r>
        <w:rPr>
          <w:b/>
          <w:bCs/>
          <w:sz w:val="22"/>
          <w:szCs w:val="22"/>
        </w:rPr>
      </w:r>
    </w:p>
    <w:p>
      <w:pPr>
        <w:pStyle w:val="Default"/>
        <w:jc w:val="both"/>
        <w:rPr/>
      </w:pPr>
      <w:r>
        <w:rPr>
          <w:b/>
        </w:rPr>
        <w:t>Fase b)</w:t>
      </w:r>
      <w:r>
        <w:rPr/>
        <w:t xml:space="preserve"> </w:t>
      </w:r>
      <w:r>
        <w:rPr>
          <w:b/>
        </w:rPr>
        <w:t>colloquio individuale:</w:t>
      </w:r>
    </w:p>
    <w:p>
      <w:pPr>
        <w:pStyle w:val="Default"/>
        <w:jc w:val="both"/>
        <w:rPr>
          <w:sz w:val="22"/>
          <w:szCs w:val="22"/>
        </w:rPr>
      </w:pPr>
      <w:r>
        <w:rPr>
          <w:sz w:val="22"/>
          <w:szCs w:val="22"/>
        </w:rPr>
      </w:r>
    </w:p>
    <w:p>
      <w:pPr>
        <w:pStyle w:val="Default"/>
        <w:jc w:val="both"/>
        <w:rPr>
          <w:sz w:val="22"/>
          <w:szCs w:val="22"/>
        </w:rPr>
      </w:pPr>
      <w:r>
        <w:rPr>
          <w:sz w:val="22"/>
          <w:szCs w:val="22"/>
        </w:rPr>
        <w:t>Il colloquio verterà sulle specifiche competenze del profilo professionale ricercato.</w:t>
      </w:r>
    </w:p>
    <w:p>
      <w:pPr>
        <w:pStyle w:val="Default"/>
        <w:spacing w:before="0" w:after="155"/>
        <w:jc w:val="both"/>
        <w:rPr>
          <w:sz w:val="22"/>
          <w:szCs w:val="22"/>
        </w:rPr>
      </w:pPr>
      <w:r>
        <w:rPr>
          <w:sz w:val="22"/>
          <w:szCs w:val="22"/>
        </w:rPr>
        <w:t xml:space="preserve">Nell’ambito del colloquio, la Commissione, tenendo conto della coerenza dei titoli di studio e delle abilitazioni professionali possedute, valuterà, anche sotto il profilo motivazionale, la capacità operativa e l'attitudine a ricoprirla, in particolare considerando la conoscenza della normativa di settore e delle procedure relative all'esecuzione delle mansioni pertinenti al profilo messo a selezione, anche mediante la soluzione di problemi specifici e casi concreti, per la verifica: </w:t>
      </w:r>
    </w:p>
    <w:p>
      <w:pPr>
        <w:pStyle w:val="Default"/>
        <w:numPr>
          <w:ilvl w:val="0"/>
          <w:numId w:val="2"/>
        </w:numPr>
        <w:spacing w:before="0" w:after="155"/>
        <w:rPr>
          <w:sz w:val="22"/>
          <w:szCs w:val="22"/>
        </w:rPr>
      </w:pPr>
      <w:r>
        <w:rPr>
          <w:sz w:val="22"/>
          <w:szCs w:val="22"/>
        </w:rPr>
        <w:t xml:space="preserve">del grado di autonomia nelle soluzioni proposte; </w:t>
      </w:r>
    </w:p>
    <w:p>
      <w:pPr>
        <w:pStyle w:val="Default"/>
        <w:numPr>
          <w:ilvl w:val="0"/>
          <w:numId w:val="2"/>
        </w:numPr>
        <w:spacing w:before="0" w:after="155"/>
        <w:rPr>
          <w:sz w:val="22"/>
          <w:szCs w:val="22"/>
        </w:rPr>
      </w:pPr>
      <w:r>
        <w:rPr>
          <w:sz w:val="22"/>
          <w:szCs w:val="22"/>
        </w:rPr>
        <w:t xml:space="preserve">della capacità di analisi e pianificazione; </w:t>
      </w:r>
    </w:p>
    <w:p>
      <w:pPr>
        <w:pStyle w:val="Default"/>
        <w:numPr>
          <w:ilvl w:val="0"/>
          <w:numId w:val="2"/>
        </w:numPr>
        <w:spacing w:before="0" w:after="155"/>
        <w:rPr>
          <w:sz w:val="22"/>
          <w:szCs w:val="22"/>
        </w:rPr>
      </w:pPr>
      <w:r>
        <w:rPr>
          <w:sz w:val="22"/>
          <w:szCs w:val="22"/>
        </w:rPr>
        <w:t xml:space="preserve">orientamento al risultato e al problem solving; </w:t>
      </w:r>
    </w:p>
    <w:p>
      <w:pPr>
        <w:pStyle w:val="Default"/>
        <w:numPr>
          <w:ilvl w:val="0"/>
          <w:numId w:val="2"/>
        </w:numPr>
        <w:rPr>
          <w:sz w:val="22"/>
          <w:szCs w:val="22"/>
        </w:rPr>
      </w:pPr>
      <w:r>
        <w:rPr>
          <w:sz w:val="22"/>
          <w:szCs w:val="22"/>
        </w:rPr>
        <w:t xml:space="preserve">capacità relazionali e di lavoro in team. </w:t>
      </w:r>
    </w:p>
    <w:p>
      <w:pPr>
        <w:pStyle w:val="Default"/>
        <w:jc w:val="both"/>
        <w:rPr>
          <w:sz w:val="22"/>
          <w:szCs w:val="22"/>
        </w:rPr>
      </w:pPr>
      <w:r>
        <w:rPr/>
        <w:t>È prevista 1'assegnazione di un punteggio massimo di</w:t>
      </w:r>
      <w:r>
        <w:rPr>
          <w:b/>
        </w:rPr>
        <w:t xml:space="preserve"> 30 punti</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Art. 6.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Incarico, durata e trattamento economico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 L’incarico avrà la durata massima di 36 mesi, articolato in 100 giornate in tre anni e comunque per un numero massimo di 33 gg. annue e non oltre il 31 dicembre 2026.</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2. L’incarico può essere sottoposto a valutazione periodica da parte dell'Amministrazione ai fini della conferma della durata, da stabilirsi nel contratto che regola il rapporto di lavoro.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3. In ordine alle eventuali sospensioni della prestazione, qualora sopravvengano eventi comportanti l’impossibilità temporanea della prestazione, l'esperto si impegna a darne comunicazione immediata al fine di permettere all'Amministrazione di attivare eventuali azioni che non pregiudichino le attività previste. La sospensione del rapporto verrà comunque disciplinata nell'ambito del contratto secondo le disposizioni di normative vigenti in materia.</w:t>
      </w:r>
    </w:p>
    <w:tbl>
      <w:tblPr>
        <w:tblW w:w="9630" w:type="dxa"/>
        <w:jc w:val="left"/>
        <w:tblInd w:w="112" w:type="dxa"/>
        <w:tblLayout w:type="fixed"/>
        <w:tblCellMar>
          <w:top w:w="0" w:type="dxa"/>
          <w:left w:w="5" w:type="dxa"/>
          <w:bottom w:w="0" w:type="dxa"/>
          <w:right w:w="5" w:type="dxa"/>
        </w:tblCellMar>
        <w:tblLook w:val="0000"/>
      </w:tblPr>
      <w:tblGrid>
        <w:gridCol w:w="981"/>
        <w:gridCol w:w="2144"/>
        <w:gridCol w:w="1186"/>
        <w:gridCol w:w="1591"/>
        <w:gridCol w:w="1349"/>
        <w:gridCol w:w="1082"/>
        <w:gridCol w:w="1296"/>
      </w:tblGrid>
      <w:tr>
        <w:trPr>
          <w:trHeight w:val="1665" w:hRule="exact"/>
        </w:trPr>
        <w:tc>
          <w:tcPr>
            <w:tcW w:w="981"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exact" w:line="276" w:before="0" w:after="0"/>
              <w:ind w:left="140" w:right="-20" w:hanging="0"/>
              <w:rPr>
                <w:rFonts w:ascii="Times New Roman" w:hAnsi="Times New Roman" w:cs="Times New Roman"/>
                <w:sz w:val="24"/>
                <w:szCs w:val="24"/>
              </w:rPr>
            </w:pPr>
            <w:r>
              <w:rPr>
                <w:rFonts w:cs="Times New Roman" w:ascii="Times New Roman" w:hAnsi="Times New Roman"/>
                <w:sz w:val="24"/>
                <w:szCs w:val="24"/>
              </w:rPr>
              <w:t>4. Il costo giornata/persona dovuto al professionista è pari ad € 400,00 al netto di IVA e degli oneri previdenziali, corrispondente al massimale riconosciuto al profilo senior previsto dal Regolamento dell’Agenzia per la Coesione Territoriale per il conferimento degli incarichi di lavoro autonomo n. 107 del 8/6/2018, come dettagliato  nella da tabella che segue:</w:t>
            </w:r>
            <w:r>
              <w:rPr>
                <w:rFonts w:cs="Times New Roman" w:ascii="Times New Roman" w:hAnsi="Times New Roman"/>
                <w:b/>
                <w:bCs/>
                <w:spacing w:val="1"/>
                <w:sz w:val="24"/>
                <w:szCs w:val="24"/>
              </w:rPr>
              <w:t>p</w:t>
            </w:r>
            <w:r>
              <w:rPr>
                <w:rFonts w:cs="Times New Roman" w:ascii="Times New Roman" w:hAnsi="Times New Roman"/>
                <w:b/>
                <w:bCs/>
                <w:spacing w:val="-1"/>
                <w:sz w:val="24"/>
                <w:szCs w:val="24"/>
              </w:rPr>
              <w:t>r</w:t>
            </w:r>
            <w:r>
              <w:rPr>
                <w:rFonts w:cs="Times New Roman" w:ascii="Times New Roman" w:hAnsi="Times New Roman"/>
                <w:b/>
                <w:bCs/>
                <w:sz w:val="24"/>
                <w:szCs w:val="24"/>
              </w:rPr>
              <w:t>o</w:t>
            </w:r>
            <w:r>
              <w:rPr>
                <w:rFonts w:cs="Times New Roman" w:ascii="Times New Roman" w:hAnsi="Times New Roman"/>
                <w:b/>
                <w:bCs/>
                <w:spacing w:val="1"/>
                <w:sz w:val="24"/>
                <w:szCs w:val="24"/>
              </w:rPr>
              <w:t>f</w:t>
            </w:r>
            <w:r>
              <w:rPr>
                <w:rFonts w:cs="Times New Roman" w:ascii="Times New Roman" w:hAnsi="Times New Roman"/>
                <w:b/>
                <w:bCs/>
                <w:sz w:val="24"/>
                <w:szCs w:val="24"/>
              </w:rPr>
              <w:t>i</w:t>
            </w:r>
            <w:r>
              <w:rPr>
                <w:rFonts w:cs="Times New Roman" w:ascii="Times New Roman" w:hAnsi="Times New Roman"/>
                <w:b/>
                <w:bCs/>
                <w:spacing w:val="1"/>
                <w:sz w:val="24"/>
                <w:szCs w:val="24"/>
              </w:rPr>
              <w:t>l</w:t>
            </w:r>
            <w:r>
              <w:rPr>
                <w:rFonts w:cs="Times New Roman" w:ascii="Times New Roman" w:hAnsi="Times New Roman"/>
                <w:b/>
                <w:bCs/>
                <w:sz w:val="24"/>
                <w:szCs w:val="24"/>
              </w:rPr>
              <w:t>o</w:t>
            </w:r>
          </w:p>
        </w:tc>
        <w:tc>
          <w:tcPr>
            <w:tcW w:w="2144"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exact" w:line="274" w:before="4" w:after="0"/>
              <w:ind w:left="781" w:right="458" w:hanging="259"/>
              <w:rPr>
                <w:rFonts w:ascii="Times New Roman" w:hAnsi="Times New Roman" w:cs="Times New Roman"/>
                <w:sz w:val="24"/>
                <w:szCs w:val="24"/>
              </w:rPr>
            </w:pPr>
            <w:r>
              <w:rPr>
                <w:rFonts w:cs="Times New Roman" w:ascii="Times New Roman" w:hAnsi="Times New Roman"/>
                <w:b/>
                <w:bCs/>
                <w:spacing w:val="-1"/>
                <w:sz w:val="24"/>
                <w:szCs w:val="24"/>
              </w:rPr>
              <w:t>M</w:t>
            </w:r>
            <w:r>
              <w:rPr>
                <w:rFonts w:cs="Times New Roman" w:ascii="Times New Roman" w:hAnsi="Times New Roman"/>
                <w:b/>
                <w:bCs/>
                <w:sz w:val="24"/>
                <w:szCs w:val="24"/>
              </w:rPr>
              <w:t>assi</w:t>
            </w:r>
            <w:r>
              <w:rPr>
                <w:rFonts w:cs="Times New Roman" w:ascii="Times New Roman" w:hAnsi="Times New Roman"/>
                <w:b/>
                <w:bCs/>
                <w:spacing w:val="-2"/>
                <w:sz w:val="24"/>
                <w:szCs w:val="24"/>
              </w:rPr>
              <w:t>m</w:t>
            </w:r>
            <w:r>
              <w:rPr>
                <w:rFonts w:cs="Times New Roman" w:ascii="Times New Roman" w:hAnsi="Times New Roman"/>
                <w:b/>
                <w:bCs/>
                <w:sz w:val="24"/>
                <w:szCs w:val="24"/>
              </w:rPr>
              <w:t>a</w:t>
            </w:r>
            <w:r>
              <w:rPr>
                <w:rFonts w:cs="Times New Roman" w:ascii="Times New Roman" w:hAnsi="Times New Roman"/>
                <w:b/>
                <w:bCs/>
                <w:spacing w:val="3"/>
                <w:sz w:val="24"/>
                <w:szCs w:val="24"/>
              </w:rPr>
              <w:t>l</w:t>
            </w:r>
            <w:r>
              <w:rPr>
                <w:rFonts w:cs="Times New Roman" w:ascii="Times New Roman" w:hAnsi="Times New Roman"/>
                <w:b/>
                <w:bCs/>
                <w:sz w:val="24"/>
                <w:szCs w:val="24"/>
              </w:rPr>
              <w:t>e gg/</w:t>
            </w:r>
            <w:r>
              <w:rPr>
                <w:rFonts w:cs="Times New Roman" w:ascii="Times New Roman" w:hAnsi="Times New Roman"/>
                <w:b/>
                <w:bCs/>
                <w:spacing w:val="1"/>
                <w:sz w:val="24"/>
                <w:szCs w:val="24"/>
              </w:rPr>
              <w:t>p</w:t>
            </w:r>
            <w:r>
              <w:rPr>
                <w:rFonts w:cs="Times New Roman" w:ascii="Times New Roman" w:hAnsi="Times New Roman"/>
                <w:b/>
                <w:bCs/>
                <w:sz w:val="24"/>
                <w:szCs w:val="24"/>
              </w:rPr>
              <w:t>p</w:t>
            </w:r>
          </w:p>
        </w:tc>
        <w:tc>
          <w:tcPr>
            <w:tcW w:w="1186"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auto" w:line="235" w:before="0" w:after="0"/>
              <w:ind w:left="134" w:right="109" w:hanging="3"/>
              <w:jc w:val="center"/>
              <w:rPr>
                <w:rFonts w:ascii="Times New Roman" w:hAnsi="Times New Roman" w:cs="Times New Roman"/>
                <w:sz w:val="24"/>
                <w:szCs w:val="24"/>
              </w:rPr>
            </w:pPr>
            <w:r>
              <w:rPr>
                <w:rFonts w:cs="Times New Roman" w:ascii="Times New Roman" w:hAnsi="Times New Roman"/>
                <w:b/>
                <w:bCs/>
                <w:sz w:val="24"/>
                <w:szCs w:val="24"/>
              </w:rPr>
              <w:t>Cos</w:t>
            </w:r>
            <w:r>
              <w:rPr>
                <w:rFonts w:cs="Times New Roman" w:ascii="Times New Roman" w:hAnsi="Times New Roman"/>
                <w:b/>
                <w:bCs/>
                <w:spacing w:val="-1"/>
                <w:sz w:val="24"/>
                <w:szCs w:val="24"/>
              </w:rPr>
              <w:t>t</w:t>
            </w:r>
            <w:r>
              <w:rPr>
                <w:rFonts w:cs="Times New Roman" w:ascii="Times New Roman" w:hAnsi="Times New Roman"/>
                <w:b/>
                <w:bCs/>
                <w:sz w:val="24"/>
                <w:szCs w:val="24"/>
              </w:rPr>
              <w:t xml:space="preserve">o giornata </w:t>
            </w:r>
            <w:r>
              <w:rPr>
                <w:rFonts w:cs="Times New Roman" w:ascii="Times New Roman" w:hAnsi="Times New Roman"/>
                <w:b/>
                <w:bCs/>
                <w:spacing w:val="1"/>
                <w:sz w:val="24"/>
                <w:szCs w:val="24"/>
              </w:rPr>
              <w:t>n</w:t>
            </w:r>
            <w:r>
              <w:rPr>
                <w:rFonts w:cs="Times New Roman" w:ascii="Times New Roman" w:hAnsi="Times New Roman"/>
                <w:b/>
                <w:bCs/>
                <w:spacing w:val="-1"/>
                <w:sz w:val="24"/>
                <w:szCs w:val="24"/>
              </w:rPr>
              <w:t>e</w:t>
            </w:r>
            <w:r>
              <w:rPr>
                <w:rFonts w:cs="Times New Roman" w:ascii="Times New Roman" w:hAnsi="Times New Roman"/>
                <w:b/>
                <w:bCs/>
                <w:sz w:val="24"/>
                <w:szCs w:val="24"/>
              </w:rPr>
              <w:t>t</w:t>
            </w:r>
            <w:r>
              <w:rPr>
                <w:rFonts w:cs="Times New Roman" w:ascii="Times New Roman" w:hAnsi="Times New Roman"/>
                <w:b/>
                <w:bCs/>
                <w:spacing w:val="-1"/>
                <w:sz w:val="24"/>
                <w:szCs w:val="24"/>
              </w:rPr>
              <w:t>t</w:t>
            </w:r>
            <w:r>
              <w:rPr>
                <w:rFonts w:cs="Times New Roman" w:ascii="Times New Roman" w:hAnsi="Times New Roman"/>
                <w:b/>
                <w:bCs/>
                <w:sz w:val="24"/>
                <w:szCs w:val="24"/>
              </w:rPr>
              <w:t>o</w:t>
            </w:r>
          </w:p>
        </w:tc>
        <w:tc>
          <w:tcPr>
            <w:tcW w:w="1591"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exact" w:line="274" w:before="4" w:after="0"/>
              <w:ind w:left="105" w:right="41" w:firstLine="386"/>
              <w:rPr>
                <w:rFonts w:ascii="Times New Roman" w:hAnsi="Times New Roman" w:cs="Times New Roman"/>
                <w:sz w:val="24"/>
                <w:szCs w:val="24"/>
              </w:rPr>
            </w:pPr>
            <w:r>
              <w:rPr>
                <w:rFonts w:cs="Times New Roman" w:ascii="Times New Roman" w:hAnsi="Times New Roman"/>
                <w:b/>
                <w:bCs/>
                <w:sz w:val="24"/>
                <w:szCs w:val="24"/>
              </w:rPr>
              <w:t xml:space="preserve">Cassa </w:t>
            </w:r>
            <w:r>
              <w:rPr>
                <w:rFonts w:cs="Times New Roman" w:ascii="Times New Roman" w:hAnsi="Times New Roman"/>
                <w:b/>
                <w:bCs/>
                <w:spacing w:val="1"/>
                <w:sz w:val="24"/>
                <w:szCs w:val="24"/>
              </w:rPr>
              <w:t>p</w:t>
            </w:r>
            <w:r>
              <w:rPr>
                <w:rFonts w:cs="Times New Roman" w:ascii="Times New Roman" w:hAnsi="Times New Roman"/>
                <w:b/>
                <w:bCs/>
                <w:spacing w:val="-1"/>
                <w:sz w:val="24"/>
                <w:szCs w:val="24"/>
              </w:rPr>
              <w:t>re</w:t>
            </w:r>
            <w:r>
              <w:rPr>
                <w:rFonts w:cs="Times New Roman" w:ascii="Times New Roman" w:hAnsi="Times New Roman"/>
                <w:b/>
                <w:bCs/>
                <w:sz w:val="24"/>
                <w:szCs w:val="24"/>
              </w:rPr>
              <w:t>vi</w:t>
            </w:r>
            <w:r>
              <w:rPr>
                <w:rFonts w:cs="Times New Roman" w:ascii="Times New Roman" w:hAnsi="Times New Roman"/>
                <w:b/>
                <w:bCs/>
                <w:spacing w:val="1"/>
                <w:sz w:val="24"/>
                <w:szCs w:val="24"/>
              </w:rPr>
              <w:t>d</w:t>
            </w:r>
            <w:r>
              <w:rPr>
                <w:rFonts w:cs="Times New Roman" w:ascii="Times New Roman" w:hAnsi="Times New Roman"/>
                <w:b/>
                <w:bCs/>
                <w:spacing w:val="-1"/>
                <w:sz w:val="24"/>
                <w:szCs w:val="24"/>
              </w:rPr>
              <w:t>e</w:t>
            </w:r>
            <w:r>
              <w:rPr>
                <w:rFonts w:cs="Times New Roman" w:ascii="Times New Roman" w:hAnsi="Times New Roman"/>
                <w:b/>
                <w:bCs/>
                <w:spacing w:val="1"/>
                <w:sz w:val="24"/>
                <w:szCs w:val="24"/>
              </w:rPr>
              <w:t>n</w:t>
            </w:r>
            <w:r>
              <w:rPr>
                <w:rFonts w:cs="Times New Roman" w:ascii="Times New Roman" w:hAnsi="Times New Roman"/>
                <w:b/>
                <w:bCs/>
                <w:spacing w:val="-1"/>
                <w:sz w:val="24"/>
                <w:szCs w:val="24"/>
              </w:rPr>
              <w:t>z</w:t>
            </w:r>
            <w:r>
              <w:rPr>
                <w:rFonts w:cs="Times New Roman" w:ascii="Times New Roman" w:hAnsi="Times New Roman"/>
                <w:b/>
                <w:bCs/>
                <w:sz w:val="24"/>
                <w:szCs w:val="24"/>
              </w:rPr>
              <w:t>ia</w:t>
            </w:r>
            <w:r>
              <w:rPr>
                <w:rFonts w:cs="Times New Roman" w:ascii="Times New Roman" w:hAnsi="Times New Roman"/>
                <w:b/>
                <w:bCs/>
                <w:spacing w:val="1"/>
                <w:sz w:val="24"/>
                <w:szCs w:val="24"/>
              </w:rPr>
              <w:t>l</w:t>
            </w:r>
            <w:r>
              <w:rPr>
                <w:rFonts w:cs="Times New Roman" w:ascii="Times New Roman" w:hAnsi="Times New Roman"/>
                <w:b/>
                <w:bCs/>
                <w:sz w:val="24"/>
                <w:szCs w:val="24"/>
              </w:rPr>
              <w:t>e</w:t>
            </w:r>
          </w:p>
        </w:tc>
        <w:tc>
          <w:tcPr>
            <w:tcW w:w="1349"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exact" w:line="276" w:before="0" w:after="0"/>
              <w:ind w:left="410" w:right="391" w:hanging="0"/>
              <w:jc w:val="center"/>
              <w:rPr>
                <w:rFonts w:ascii="Times New Roman" w:hAnsi="Times New Roman" w:cs="Times New Roman"/>
                <w:sz w:val="24"/>
                <w:szCs w:val="24"/>
              </w:rPr>
            </w:pPr>
            <w:r>
              <w:rPr>
                <w:rFonts w:cs="Times New Roman" w:ascii="Times New Roman" w:hAnsi="Times New Roman"/>
                <w:b/>
                <w:bCs/>
                <w:sz w:val="24"/>
                <w:szCs w:val="24"/>
              </w:rPr>
              <w:t>IVA</w:t>
            </w:r>
          </w:p>
          <w:p>
            <w:pPr>
              <w:pStyle w:val="Normal"/>
              <w:widowControl w:val="false"/>
              <w:spacing w:lineRule="exact" w:line="269" w:before="0" w:after="0"/>
              <w:ind w:left="93" w:right="77" w:hanging="0"/>
              <w:jc w:val="center"/>
              <w:rPr>
                <w:rFonts w:ascii="Times New Roman" w:hAnsi="Times New Roman" w:cs="Times New Roman"/>
                <w:sz w:val="24"/>
                <w:szCs w:val="24"/>
              </w:rPr>
            </w:pPr>
            <w:r>
              <w:rPr>
                <w:rFonts w:cs="Times New Roman" w:ascii="Times New Roman" w:hAnsi="Times New Roman"/>
                <w:b/>
                <w:bCs/>
                <w:spacing w:val="-1"/>
                <w:sz w:val="24"/>
                <w:szCs w:val="24"/>
              </w:rPr>
              <w:t>(</w:t>
            </w:r>
            <w:r>
              <w:rPr>
                <w:rFonts w:cs="Times New Roman" w:ascii="Times New Roman" w:hAnsi="Times New Roman"/>
                <w:i/>
                <w:iCs/>
                <w:sz w:val="24"/>
                <w:szCs w:val="24"/>
              </w:rPr>
              <w:t>se do</w:t>
            </w:r>
            <w:r>
              <w:rPr>
                <w:rFonts w:cs="Times New Roman" w:ascii="Times New Roman" w:hAnsi="Times New Roman"/>
                <w:i/>
                <w:iCs/>
                <w:spacing w:val="-1"/>
                <w:sz w:val="24"/>
                <w:szCs w:val="24"/>
              </w:rPr>
              <w:t>v</w:t>
            </w:r>
            <w:r>
              <w:rPr>
                <w:rFonts w:cs="Times New Roman" w:ascii="Times New Roman" w:hAnsi="Times New Roman"/>
                <w:i/>
                <w:iCs/>
                <w:sz w:val="24"/>
                <w:szCs w:val="24"/>
              </w:rPr>
              <w:t>uta</w:t>
            </w:r>
            <w:r>
              <w:rPr>
                <w:rFonts w:cs="Times New Roman" w:ascii="Times New Roman" w:hAnsi="Times New Roman"/>
                <w:b/>
                <w:bCs/>
                <w:i/>
                <w:iCs/>
                <w:sz w:val="24"/>
                <w:szCs w:val="24"/>
              </w:rPr>
              <w:t>)</w:t>
            </w:r>
          </w:p>
        </w:tc>
        <w:tc>
          <w:tcPr>
            <w:tcW w:w="1082"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auto" w:line="235" w:before="0" w:after="0"/>
              <w:ind w:left="82" w:right="62" w:hanging="2"/>
              <w:jc w:val="center"/>
              <w:rPr>
                <w:rFonts w:ascii="Times New Roman" w:hAnsi="Times New Roman" w:cs="Times New Roman"/>
                <w:sz w:val="24"/>
                <w:szCs w:val="24"/>
              </w:rPr>
            </w:pPr>
            <w:r>
              <w:rPr>
                <w:rFonts w:cs="Times New Roman" w:ascii="Times New Roman" w:hAnsi="Times New Roman"/>
                <w:b/>
                <w:bCs/>
                <w:spacing w:val="-1"/>
                <w:sz w:val="24"/>
                <w:szCs w:val="24"/>
              </w:rPr>
              <w:t>c</w:t>
            </w:r>
            <w:r>
              <w:rPr>
                <w:rFonts w:cs="Times New Roman" w:ascii="Times New Roman" w:hAnsi="Times New Roman"/>
                <w:b/>
                <w:bCs/>
                <w:sz w:val="24"/>
                <w:szCs w:val="24"/>
              </w:rPr>
              <w:t>osto to</w:t>
            </w:r>
            <w:r>
              <w:rPr>
                <w:rFonts w:cs="Times New Roman" w:ascii="Times New Roman" w:hAnsi="Times New Roman"/>
                <w:b/>
                <w:bCs/>
                <w:spacing w:val="-1"/>
                <w:sz w:val="24"/>
                <w:szCs w:val="24"/>
              </w:rPr>
              <w:t>t</w:t>
            </w:r>
            <w:r>
              <w:rPr>
                <w:rFonts w:cs="Times New Roman" w:ascii="Times New Roman" w:hAnsi="Times New Roman"/>
                <w:b/>
                <w:bCs/>
                <w:sz w:val="24"/>
                <w:szCs w:val="24"/>
              </w:rPr>
              <w:t>ale lordo si</w:t>
            </w:r>
            <w:r>
              <w:rPr>
                <w:rFonts w:cs="Times New Roman" w:ascii="Times New Roman" w:hAnsi="Times New Roman"/>
                <w:b/>
                <w:bCs/>
                <w:spacing w:val="1"/>
                <w:sz w:val="24"/>
                <w:szCs w:val="24"/>
              </w:rPr>
              <w:t>n</w:t>
            </w:r>
            <w:r>
              <w:rPr>
                <w:rFonts w:cs="Times New Roman" w:ascii="Times New Roman" w:hAnsi="Times New Roman"/>
                <w:b/>
                <w:bCs/>
                <w:sz w:val="24"/>
                <w:szCs w:val="24"/>
              </w:rPr>
              <w:t>gola giornata</w:t>
            </w:r>
          </w:p>
        </w:tc>
        <w:tc>
          <w:tcPr>
            <w:tcW w:w="1296"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auto" w:line="235" w:before="0" w:after="0"/>
              <w:ind w:left="181" w:right="122" w:firstLine="94"/>
              <w:rPr>
                <w:rFonts w:ascii="Times New Roman" w:hAnsi="Times New Roman" w:cs="Times New Roman"/>
                <w:sz w:val="24"/>
                <w:szCs w:val="24"/>
              </w:rPr>
            </w:pPr>
            <w:r>
              <w:rPr>
                <w:rFonts w:cs="Times New Roman" w:ascii="Times New Roman" w:hAnsi="Times New Roman"/>
                <w:b/>
                <w:bCs/>
                <w:sz w:val="24"/>
                <w:szCs w:val="24"/>
              </w:rPr>
              <w:t>B</w:t>
            </w:r>
            <w:r>
              <w:rPr>
                <w:rFonts w:cs="Times New Roman" w:ascii="Times New Roman" w:hAnsi="Times New Roman"/>
                <w:b/>
                <w:bCs/>
                <w:spacing w:val="1"/>
                <w:sz w:val="24"/>
                <w:szCs w:val="24"/>
              </w:rPr>
              <w:t>ud</w:t>
            </w:r>
            <w:r>
              <w:rPr>
                <w:rFonts w:cs="Times New Roman" w:ascii="Times New Roman" w:hAnsi="Times New Roman"/>
                <w:b/>
                <w:bCs/>
                <w:sz w:val="24"/>
                <w:szCs w:val="24"/>
              </w:rPr>
              <w:t>g</w:t>
            </w:r>
            <w:r>
              <w:rPr>
                <w:rFonts w:cs="Times New Roman" w:ascii="Times New Roman" w:hAnsi="Times New Roman"/>
                <w:b/>
                <w:bCs/>
                <w:spacing w:val="-1"/>
                <w:sz w:val="24"/>
                <w:szCs w:val="24"/>
              </w:rPr>
              <w:t>e</w:t>
            </w:r>
            <w:r>
              <w:rPr>
                <w:rFonts w:cs="Times New Roman" w:ascii="Times New Roman" w:hAnsi="Times New Roman"/>
                <w:b/>
                <w:bCs/>
                <w:sz w:val="24"/>
                <w:szCs w:val="24"/>
              </w:rPr>
              <w:t xml:space="preserve">t </w:t>
            </w:r>
            <w:r>
              <w:rPr>
                <w:rFonts w:cs="Times New Roman" w:ascii="Times New Roman" w:hAnsi="Times New Roman"/>
                <w:b/>
                <w:bCs/>
                <w:spacing w:val="-3"/>
                <w:sz w:val="24"/>
                <w:szCs w:val="24"/>
              </w:rPr>
              <w:t>m</w:t>
            </w:r>
            <w:r>
              <w:rPr>
                <w:rFonts w:cs="Times New Roman" w:ascii="Times New Roman" w:hAnsi="Times New Roman"/>
                <w:b/>
                <w:bCs/>
                <w:sz w:val="24"/>
                <w:szCs w:val="24"/>
              </w:rPr>
              <w:t>ass</w:t>
            </w:r>
            <w:r>
              <w:rPr>
                <w:rFonts w:cs="Times New Roman" w:ascii="Times New Roman" w:hAnsi="Times New Roman"/>
                <w:b/>
                <w:bCs/>
                <w:spacing w:val="3"/>
                <w:sz w:val="24"/>
                <w:szCs w:val="24"/>
              </w:rPr>
              <w:t>i</w:t>
            </w:r>
            <w:r>
              <w:rPr>
                <w:rFonts w:cs="Times New Roman" w:ascii="Times New Roman" w:hAnsi="Times New Roman"/>
                <w:b/>
                <w:bCs/>
                <w:spacing w:val="-3"/>
                <w:sz w:val="24"/>
                <w:szCs w:val="24"/>
              </w:rPr>
              <w:t>m</w:t>
            </w:r>
            <w:r>
              <w:rPr>
                <w:rFonts w:cs="Times New Roman" w:ascii="Times New Roman" w:hAnsi="Times New Roman"/>
                <w:b/>
                <w:bCs/>
                <w:sz w:val="24"/>
                <w:szCs w:val="24"/>
              </w:rPr>
              <w:t>o t</w:t>
            </w:r>
            <w:r>
              <w:rPr>
                <w:rFonts w:cs="Times New Roman" w:ascii="Times New Roman" w:hAnsi="Times New Roman"/>
                <w:b/>
                <w:bCs/>
                <w:spacing w:val="-2"/>
                <w:sz w:val="24"/>
                <w:szCs w:val="24"/>
              </w:rPr>
              <w:t>r</w:t>
            </w:r>
            <w:r>
              <w:rPr>
                <w:rFonts w:cs="Times New Roman" w:ascii="Times New Roman" w:hAnsi="Times New Roman"/>
                <w:b/>
                <w:bCs/>
                <w:sz w:val="24"/>
                <w:szCs w:val="24"/>
              </w:rPr>
              <w:t>ien</w:t>
            </w:r>
            <w:r>
              <w:rPr>
                <w:rFonts w:cs="Times New Roman" w:ascii="Times New Roman" w:hAnsi="Times New Roman"/>
                <w:b/>
                <w:bCs/>
                <w:spacing w:val="1"/>
                <w:sz w:val="24"/>
                <w:szCs w:val="24"/>
              </w:rPr>
              <w:t>n</w:t>
            </w:r>
            <w:r>
              <w:rPr>
                <w:rFonts w:cs="Times New Roman" w:ascii="Times New Roman" w:hAnsi="Times New Roman"/>
                <w:b/>
                <w:bCs/>
                <w:sz w:val="24"/>
                <w:szCs w:val="24"/>
              </w:rPr>
              <w:t>ale</w:t>
            </w:r>
          </w:p>
        </w:tc>
      </w:tr>
      <w:tr>
        <w:trPr>
          <w:trHeight w:val="288" w:hRule="exact"/>
        </w:trPr>
        <w:tc>
          <w:tcPr>
            <w:tcW w:w="98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193" w:right="-20" w:hanging="0"/>
              <w:rPr>
                <w:rFonts w:ascii="Times New Roman" w:hAnsi="Times New Roman" w:cs="Times New Roman"/>
                <w:sz w:val="24"/>
                <w:szCs w:val="24"/>
              </w:rPr>
            </w:pPr>
            <w:r>
              <w:rPr>
                <w:rFonts w:cs="Times New Roman" w:ascii="Times New Roman" w:hAnsi="Times New Roman"/>
                <w:sz w:val="24"/>
                <w:szCs w:val="24"/>
              </w:rPr>
              <w:t>s</w:t>
            </w:r>
            <w:r>
              <w:rPr>
                <w:rFonts w:cs="Times New Roman" w:ascii="Times New Roman" w:hAnsi="Times New Roman"/>
                <w:spacing w:val="-1"/>
                <w:sz w:val="24"/>
                <w:szCs w:val="24"/>
              </w:rPr>
              <w:t>e</w:t>
            </w:r>
            <w:r>
              <w:rPr>
                <w:rFonts w:cs="Times New Roman" w:ascii="Times New Roman" w:hAnsi="Times New Roman"/>
                <w:sz w:val="24"/>
                <w:szCs w:val="24"/>
              </w:rPr>
              <w:t>nior</w:t>
            </w:r>
          </w:p>
        </w:tc>
        <w:tc>
          <w:tcPr>
            <w:tcW w:w="214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851" w:right="827" w:hanging="0"/>
              <w:jc w:val="center"/>
              <w:rPr>
                <w:rFonts w:ascii="Times New Roman" w:hAnsi="Times New Roman" w:cs="Times New Roman"/>
                <w:sz w:val="24"/>
                <w:szCs w:val="24"/>
              </w:rPr>
            </w:pPr>
            <w:r>
              <w:rPr>
                <w:rFonts w:cs="Times New Roman" w:ascii="Times New Roman" w:hAnsi="Times New Roman"/>
                <w:sz w:val="24"/>
                <w:szCs w:val="24"/>
              </w:rPr>
              <w:t>100</w:t>
            </w:r>
          </w:p>
        </w:tc>
        <w:tc>
          <w:tcPr>
            <w:tcW w:w="118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258" w:right="-20" w:hanging="0"/>
              <w:rPr>
                <w:rFonts w:ascii="Times New Roman" w:hAnsi="Times New Roman" w:cs="Times New Roman"/>
                <w:sz w:val="24"/>
                <w:szCs w:val="24"/>
              </w:rPr>
            </w:pPr>
            <w:r>
              <w:rPr>
                <w:rFonts w:cs="Times New Roman" w:ascii="Times New Roman" w:hAnsi="Times New Roman"/>
                <w:sz w:val="24"/>
                <w:szCs w:val="24"/>
              </w:rPr>
              <w:t>400,00</w:t>
            </w:r>
          </w:p>
        </w:tc>
        <w:tc>
          <w:tcPr>
            <w:tcW w:w="15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520" w:right="-20" w:hanging="0"/>
              <w:rPr>
                <w:rFonts w:ascii="Times New Roman" w:hAnsi="Times New Roman" w:cs="Times New Roman"/>
                <w:sz w:val="24"/>
                <w:szCs w:val="24"/>
              </w:rPr>
            </w:pPr>
            <w:r>
              <w:rPr>
                <w:rFonts w:cs="Times New Roman" w:ascii="Times New Roman" w:hAnsi="Times New Roman"/>
                <w:sz w:val="24"/>
                <w:szCs w:val="24"/>
              </w:rPr>
              <w:t>16,00</w:t>
            </w:r>
          </w:p>
        </w:tc>
        <w:tc>
          <w:tcPr>
            <w:tcW w:w="134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397" w:right="-20" w:hanging="0"/>
              <w:rPr>
                <w:rFonts w:ascii="Times New Roman" w:hAnsi="Times New Roman" w:cs="Times New Roman"/>
                <w:sz w:val="24"/>
                <w:szCs w:val="24"/>
              </w:rPr>
            </w:pPr>
            <w:r>
              <w:rPr>
                <w:rFonts w:cs="Times New Roman" w:ascii="Times New Roman" w:hAnsi="Times New Roman"/>
                <w:sz w:val="24"/>
                <w:szCs w:val="24"/>
              </w:rPr>
              <w:t>88,00</w:t>
            </w:r>
          </w:p>
        </w:tc>
        <w:tc>
          <w:tcPr>
            <w:tcW w:w="108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205" w:right="-20" w:hanging="0"/>
              <w:rPr>
                <w:rFonts w:ascii="Times New Roman" w:hAnsi="Times New Roman" w:cs="Times New Roman"/>
                <w:sz w:val="24"/>
                <w:szCs w:val="24"/>
              </w:rPr>
            </w:pPr>
            <w:r>
              <w:rPr>
                <w:rFonts w:cs="Times New Roman" w:ascii="Times New Roman" w:hAnsi="Times New Roman"/>
                <w:sz w:val="24"/>
                <w:szCs w:val="24"/>
              </w:rPr>
              <w:t>504,00</w:t>
            </w:r>
          </w:p>
        </w:tc>
        <w:tc>
          <w:tcPr>
            <w:tcW w:w="129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102" w:right="-20" w:hanging="0"/>
              <w:rPr>
                <w:rFonts w:ascii="Times New Roman" w:hAnsi="Times New Roman" w:cs="Times New Roman"/>
                <w:sz w:val="24"/>
                <w:szCs w:val="24"/>
              </w:rPr>
            </w:pPr>
            <w:r>
              <w:rPr>
                <w:rFonts w:cs="Times New Roman" w:ascii="Times New Roman" w:hAnsi="Times New Roman"/>
                <w:sz w:val="24"/>
                <w:szCs w:val="24"/>
              </w:rPr>
              <w:t>50.400,00</w:t>
            </w:r>
          </w:p>
        </w:tc>
      </w:tr>
    </w:tbl>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5. L’intero costo derivante dalla sottoscrizione del relativo contratto di lavoro farà carico sulle risorse del programma di Azione e Coesione Complementare al PON Governance e capacità Istituzionale 2014-2020 – CUP E99J21007460005.</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Il contratto verrà stipulato sulla base dello schema di contratto predisposto dall'Agenzia per la Coesione Territoriale, che definisce le modalità, anche temporali, della collaborazione e la soglia massima della remunerazione, nei limiti di quanto stabilito dal Regolamento per il conferimento degli incarichi di lavoro autonomo, di cui al decreto del direttore della predetta Agenzia, n. 107, in data 8 giugno 2018.</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Art. 7</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Trattamento dei dati personali</w:t>
      </w:r>
    </w:p>
    <w:p>
      <w:pPr>
        <w:pStyle w:val="Standard"/>
        <w:suppressAutoHyphens w:val="false"/>
        <w:spacing w:lineRule="auto" w:line="276"/>
        <w:jc w:val="both"/>
        <w:rPr>
          <w:rFonts w:eastAsia="Batang, 바탕"/>
          <w:spacing w:val="0"/>
          <w:szCs w:val="24"/>
          <w:lang w:eastAsia="it-IT"/>
        </w:rPr>
      </w:pPr>
      <w:r>
        <w:rPr>
          <w:szCs w:val="24"/>
        </w:rPr>
        <w:t>1.</w:t>
      </w:r>
      <w:r>
        <w:rPr>
          <w:rFonts w:eastAsia="Batang, 바탕"/>
          <w:spacing w:val="0"/>
          <w:szCs w:val="24"/>
          <w:lang w:eastAsia="it-IT"/>
        </w:rPr>
        <w:t>Il Titolare del trattamento è il Comune di Messina. I dati raccolti con la domanda di partecipazione alla procedura di selezione sono trattati esclusivamente per le finalità connesse all’espletamento della stessa e per le successive attività nel rispetto delle prescrizioni di cui al   Regolamento UE 2016/679 (GDPR) – (Regolamento Europeo relativo al trattamento dei dati personali)  e della normativa nazionale (D.Lgs. 196/2003 modificato dal D.Lgs. n. 101/2018).</w:t>
      </w:r>
    </w:p>
    <w:p>
      <w:pPr>
        <w:pStyle w:val="Standard"/>
        <w:suppressAutoHyphens w:val="false"/>
        <w:spacing w:lineRule="auto" w:line="276"/>
        <w:jc w:val="both"/>
        <w:rPr>
          <w:rFonts w:eastAsia="Batang, 바탕"/>
          <w:spacing w:val="0"/>
          <w:szCs w:val="24"/>
          <w:lang w:eastAsia="it-IT"/>
        </w:rPr>
      </w:pPr>
      <w:r>
        <w:rPr>
          <w:rFonts w:eastAsia="Batang, 바탕"/>
          <w:spacing w:val="0"/>
          <w:szCs w:val="24"/>
          <w:lang w:eastAsia="it-IT"/>
        </w:rPr>
        <w:t>I dati forniti dai candidati per la partecipazione alla selezione saranno trattati e conservati nel rispetto degli obblighi previsti dalla normativa vigente  per il tempo necessario connesso alla gestione della procedura selettiva e della graduatoria, in archivi informatici, cartacei per i necessari adempimenti in ordine alla procedura selettiva e anche per adempiere a specifici obblighi imposti da legge, regolamenti e dalla normativa comunitaria.</w:t>
      </w:r>
    </w:p>
    <w:p>
      <w:pPr>
        <w:pStyle w:val="Normal"/>
        <w:spacing w:before="0" w:after="0"/>
        <w:jc w:val="both"/>
        <w:rPr>
          <w:rFonts w:ascii="Times New Roman" w:hAnsi="Times New Roman" w:eastAsia="Batang, 바탕" w:cs="Times New Roman"/>
          <w:sz w:val="24"/>
          <w:szCs w:val="24"/>
        </w:rPr>
      </w:pPr>
      <w:r>
        <w:rPr>
          <w:rFonts w:eastAsia="Batang, 바탕" w:cs="Times New Roman" w:ascii="Times New Roman" w:hAnsi="Times New Roman"/>
          <w:sz w:val="24"/>
          <w:szCs w:val="24"/>
        </w:rPr>
        <w:t xml:space="preserve">L’interessato potrà esercitare, alle condizioni e nei limiti di cui al Regolamento UE n.679/2016 i diritti previsti negli artt. 15 e seguenti del medesimo: l’accesso ai propri dati personali, la rettifica o la cancellazione dei dati, la limitazione del trattamento, la portabilità dei dati, l’opposizione al trattamento.  </w:t>
      </w:r>
    </w:p>
    <w:p>
      <w:pPr>
        <w:pStyle w:val="Normal"/>
        <w:spacing w:before="0" w:after="0"/>
        <w:jc w:val="both"/>
        <w:rPr>
          <w:rFonts w:ascii="Times New Roman" w:hAnsi="Times New Roman" w:eastAsia="Batang, 바탕" w:cs="Times New Roman"/>
          <w:sz w:val="24"/>
          <w:szCs w:val="24"/>
        </w:rPr>
      </w:pPr>
      <w:r>
        <w:rPr>
          <w:rFonts w:eastAsia="Batang, 바탕" w:cs="Times New Roman" w:ascii="Times New Roman" w:hAnsi="Times New Roman"/>
          <w:sz w:val="24"/>
          <w:szCs w:val="24"/>
        </w:rPr>
        <w:t>L’interessato potrà inoltre esercitare il diritto di proporre reclamo all’Autorità Garante per la protezione dei dati personali.</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Art. 8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Informazione e pubblicità</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1.   Il   presente   Avviso   è   pubblicato   all’Albo   pretorio on line    e   sul   sito   web   del   Comune </w:t>
      </w:r>
      <w:hyperlink r:id="rId8">
        <w:r>
          <w:rPr>
            <w:rStyle w:val="CollegamentoInternet"/>
            <w:rFonts w:cs="Times New Roman" w:ascii="Times New Roman" w:hAnsi="Times New Roman"/>
            <w:sz w:val="24"/>
            <w:szCs w:val="24"/>
          </w:rPr>
          <w:t>www.comune.messina.it</w:t>
        </w:r>
      </w:hyperlink>
      <w:r>
        <w:rPr>
          <w:rFonts w:cs="Times New Roman" w:ascii="Times New Roman" w:hAnsi="Times New Roman"/>
          <w:sz w:val="24"/>
          <w:szCs w:val="24"/>
        </w:rPr>
        <w:t xml:space="preserve"> – nella sezione avvisi, nella sezione Amministrazione Trasparente/bandi di concorso.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Eventuali richieste di chiarimento possono essere formulate dagli interessati, alla casella di Posta Elettronica </w:t>
      </w:r>
      <w:hyperlink r:id="rId9">
        <w:r>
          <w:rPr>
            <w:rStyle w:val="CollegamentoInternet"/>
            <w:rFonts w:cs="Times New Roman" w:ascii="Times New Roman" w:hAnsi="Times New Roman"/>
            <w:sz w:val="24"/>
            <w:szCs w:val="24"/>
          </w:rPr>
          <w:t>protocollo@pec.comune.messina.it</w:t>
        </w:r>
      </w:hyperlink>
      <w:r>
        <w:rPr>
          <w:rFonts w:cs="Times New Roman" w:ascii="Times New Roman" w:hAnsi="Times New Roman"/>
          <w:sz w:val="24"/>
          <w:szCs w:val="24"/>
        </w:rPr>
        <w:t xml:space="preserve"> specificando nell’oggetto “</w:t>
      </w:r>
      <w:r>
        <w:rPr>
          <w:rFonts w:cs="Times New Roman" w:ascii="Times New Roman" w:hAnsi="Times New Roman"/>
          <w:b/>
          <w:i/>
          <w:sz w:val="24"/>
          <w:szCs w:val="24"/>
        </w:rPr>
        <w:t>Avviso esperto di alta specializzazione  in Gestione, monitoraggio e controllo – profilo SENIOR - PNRR</w:t>
      </w:r>
      <w:r>
        <w:rPr>
          <w:rFonts w:cs="Times New Roman" w:ascii="Times New Roman" w:hAnsi="Times New Roman"/>
          <w:sz w:val="24"/>
          <w:szCs w:val="24"/>
        </w:rPr>
        <w:t xml:space="preserve">” </w:t>
      </w:r>
      <w:r>
        <w:rPr>
          <w:rFonts w:cs="Times New Roman" w:ascii="Times New Roman" w:hAnsi="Times New Roman"/>
          <w:b/>
          <w:i/>
          <w:sz w:val="24"/>
          <w:szCs w:val="24"/>
        </w:rPr>
        <w:t>richiesta informazioni e chiarimenti”</w:t>
      </w:r>
      <w:r>
        <w:rPr>
          <w:rFonts w:cs="Times New Roman" w:ascii="Times New Roman" w:hAnsi="Times New Roman"/>
          <w:sz w:val="24"/>
          <w:szCs w:val="24"/>
        </w:rPr>
        <w:t>.</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Di ogni ulteriore informazione e comunicazione relative all’Avviso, sarà data diffusione sul sito internet del Comune.</w:t>
      </w:r>
    </w:p>
    <w:p>
      <w:pPr>
        <w:pStyle w:val="Normal"/>
        <w:spacing w:before="0" w:after="0"/>
        <w:jc w:val="both"/>
        <w:rPr>
          <w:rFonts w:ascii="Times New Roman" w:hAnsi="Times New Roman" w:cs="Times New Roman"/>
        </w:rPr>
      </w:pPr>
      <w:r>
        <w:rPr>
          <w:rFonts w:cs="Times New Roman" w:ascii="Times New Roman" w:hAnsi="Times New Roman"/>
          <w:sz w:val="24"/>
          <w:szCs w:val="24"/>
        </w:rPr>
        <w:t>2. Responsabile del Procedimento è la dott.ssa Patrizia Russo, Responsabile del Servizio Gestione Giuridica del Personale, contattabile all’indirizzo pec del comune e/o all’indirizzo</w:t>
      </w:r>
      <w:r>
        <w:rPr>
          <w:rFonts w:cs="Times New Roman" w:ascii="Times New Roman" w:hAnsi="Times New Roman"/>
        </w:rPr>
        <w:t xml:space="preserve"> mail istituzionale: </w:t>
      </w:r>
      <w:hyperlink r:id="rId10">
        <w:r>
          <w:rPr>
            <w:rStyle w:val="CollegamentoInternet"/>
            <w:rFonts w:cs="Times New Roman" w:ascii="Times New Roman" w:hAnsi="Times New Roman"/>
          </w:rPr>
          <w:t>p.russo@comune.messina.it</w:t>
        </w:r>
      </w:hyperlink>
      <w:r>
        <w:rPr>
          <w:rFonts w:cs="Times New Roman" w:ascii="Times New Roman" w:hAnsi="Times New Roman"/>
        </w:rPr>
        <w:t>. – Tel. 0907722195.</w:t>
      </w:r>
    </w:p>
    <w:p>
      <w:pPr>
        <w:pStyle w:val="Normal"/>
        <w:spacing w:before="0" w:after="0"/>
        <w:jc w:val="both"/>
        <w:rPr/>
      </w:pPr>
      <w:r>
        <w:rPr/>
      </w:r>
    </w:p>
    <w:p>
      <w:pPr>
        <w:pStyle w:val="Normal"/>
        <w:spacing w:before="0" w:after="0"/>
        <w:jc w:val="both"/>
        <w:rPr>
          <w:rFonts w:ascii="Times New Roman" w:hAnsi="Times New Roman" w:cs="Times New Roman"/>
        </w:rPr>
      </w:pPr>
      <w:r>
        <w:rPr>
          <w:rFonts w:cs="Times New Roman" w:ascii="Times New Roman" w:hAnsi="Times New Roman"/>
        </w:rPr>
        <w:t>Messina,</w:t>
      </w:r>
    </w:p>
    <w:p>
      <w:pPr>
        <w:pStyle w:val="Normal"/>
        <w:spacing w:before="0" w:after="0"/>
        <w:jc w:val="both"/>
        <w:rPr>
          <w:rFonts w:ascii="Times New Roman" w:hAnsi="Times New Roman" w:eastAsia="" w:cs="Times New Roman" w:eastAsiaTheme="minorEastAsia"/>
          <w:color w:val="000000"/>
          <w:sz w:val="24"/>
          <w:szCs w:val="24"/>
          <w:lang w:eastAsia="it-IT"/>
        </w:rPr>
      </w:pPr>
      <w:r>
        <w:rPr>
          <w:rFonts w:eastAsia="" w:cs="Times New Roman" w:eastAsiaTheme="minorEastAsia" w:ascii="Times New Roman" w:hAnsi="Times New Roman"/>
          <w:color w:val="000000"/>
          <w:sz w:val="24"/>
          <w:szCs w:val="24"/>
          <w:lang w:eastAsia="it-IT"/>
        </w:rPr>
      </w:r>
    </w:p>
    <w:p>
      <w:pPr>
        <w:pStyle w:val="NoSpacing"/>
        <w:rPr>
          <w:rFonts w:ascii="Times New Roman" w:hAnsi="Times New Roman" w:cs="Times New Roman"/>
          <w:lang w:eastAsia="it-IT"/>
        </w:rPr>
      </w:pPr>
      <w:r>
        <w:rPr>
          <w:rFonts w:cs="Times New Roman" w:ascii="Times New Roman" w:hAnsi="Times New Roman"/>
          <w:lang w:eastAsia="it-IT"/>
        </w:rPr>
        <w:t xml:space="preserve">                                                                                                                 </w:t>
      </w:r>
      <w:r>
        <w:rPr>
          <w:rFonts w:cs="Times New Roman" w:ascii="Times New Roman" w:hAnsi="Times New Roman"/>
          <w:lang w:eastAsia="it-IT"/>
        </w:rPr>
        <w:t xml:space="preserve">IL DIRETTORE GENERALE                                                   </w:t>
      </w:r>
    </w:p>
    <w:p>
      <w:pPr>
        <w:pStyle w:val="NoSpacing"/>
        <w:ind w:left="4956" w:firstLine="708"/>
        <w:rPr>
          <w:rFonts w:ascii="Times New Roman" w:hAnsi="Times New Roman" w:cs="Times New Roman"/>
          <w:lang w:eastAsia="it-IT"/>
        </w:rPr>
      </w:pPr>
      <w:r>
        <w:rPr>
          <w:rFonts w:cs="Times New Roman" w:ascii="Times New Roman" w:hAnsi="Times New Roman"/>
          <w:lang w:eastAsia="it-IT"/>
        </w:rPr>
        <w:t xml:space="preserve">           </w:t>
      </w:r>
      <w:r>
        <w:rPr>
          <w:rFonts w:cs="Times New Roman" w:ascii="Times New Roman" w:hAnsi="Times New Roman"/>
          <w:lang w:eastAsia="it-IT"/>
        </w:rPr>
        <w:tab/>
        <w:t xml:space="preserve">   Dott. Salvo Puccio</w:t>
      </w:r>
    </w:p>
    <w:p>
      <w:pPr>
        <w:pStyle w:val="NoSpacing"/>
        <w:rPr>
          <w:lang w:eastAsia="it-IT"/>
        </w:rPr>
      </w:pPr>
      <w:r>
        <w:rPr/>
      </w:r>
    </w:p>
    <w:sectPr>
      <w:type w:val="nextPage"/>
      <w:pgSz w:w="11906" w:h="16838"/>
      <w:pgMar w:left="1134" w:right="1134" w:header="0" w:top="567"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Letter"/>
      <w:lvlText w:val="%1)"/>
      <w:lvlJc w:val="left"/>
      <w:pPr>
        <w:tabs>
          <w:tab w:val="num" w:pos="0"/>
        </w:tabs>
        <w:ind w:left="465" w:hanging="360"/>
      </w:pPr>
      <w:rPr>
        <w:b/>
      </w:rPr>
    </w:lvl>
    <w:lvl w:ilvl="1">
      <w:start w:val="1"/>
      <w:numFmt w:val="lowerLetter"/>
      <w:lvlText w:val="%2."/>
      <w:lvlJc w:val="left"/>
      <w:pPr>
        <w:tabs>
          <w:tab w:val="num" w:pos="0"/>
        </w:tabs>
        <w:ind w:left="1185" w:hanging="360"/>
      </w:pPr>
    </w:lvl>
    <w:lvl w:ilvl="2">
      <w:start w:val="1"/>
      <w:numFmt w:val="lowerRoman"/>
      <w:lvlText w:val="%3."/>
      <w:lvlJc w:val="right"/>
      <w:pPr>
        <w:tabs>
          <w:tab w:val="num" w:pos="0"/>
        </w:tabs>
        <w:ind w:left="1905" w:hanging="180"/>
      </w:pPr>
    </w:lvl>
    <w:lvl w:ilvl="3">
      <w:start w:val="1"/>
      <w:numFmt w:val="decimal"/>
      <w:lvlText w:val="%4."/>
      <w:lvlJc w:val="left"/>
      <w:pPr>
        <w:tabs>
          <w:tab w:val="num" w:pos="0"/>
        </w:tabs>
        <w:ind w:left="2625" w:hanging="360"/>
      </w:pPr>
    </w:lvl>
    <w:lvl w:ilvl="4">
      <w:start w:val="1"/>
      <w:numFmt w:val="lowerLetter"/>
      <w:lvlText w:val="%5."/>
      <w:lvlJc w:val="left"/>
      <w:pPr>
        <w:tabs>
          <w:tab w:val="num" w:pos="0"/>
        </w:tabs>
        <w:ind w:left="3345" w:hanging="360"/>
      </w:pPr>
    </w:lvl>
    <w:lvl w:ilvl="5">
      <w:start w:val="1"/>
      <w:numFmt w:val="lowerRoman"/>
      <w:lvlText w:val="%6."/>
      <w:lvlJc w:val="right"/>
      <w:pPr>
        <w:tabs>
          <w:tab w:val="num" w:pos="0"/>
        </w:tabs>
        <w:ind w:left="4065" w:hanging="180"/>
      </w:pPr>
    </w:lvl>
    <w:lvl w:ilvl="6">
      <w:start w:val="1"/>
      <w:numFmt w:val="decimal"/>
      <w:lvlText w:val="%7."/>
      <w:lvlJc w:val="left"/>
      <w:pPr>
        <w:tabs>
          <w:tab w:val="num" w:pos="0"/>
        </w:tabs>
        <w:ind w:left="4785" w:hanging="360"/>
      </w:pPr>
    </w:lvl>
    <w:lvl w:ilvl="7">
      <w:start w:val="1"/>
      <w:numFmt w:val="lowerLetter"/>
      <w:lvlText w:val="%8."/>
      <w:lvlJc w:val="left"/>
      <w:pPr>
        <w:tabs>
          <w:tab w:val="num" w:pos="0"/>
        </w:tabs>
        <w:ind w:left="5505" w:hanging="360"/>
      </w:pPr>
    </w:lvl>
    <w:lvl w:ilvl="8">
      <w:start w:val="1"/>
      <w:numFmt w:val="lowerRoman"/>
      <w:lvlText w:val="%9."/>
      <w:lvlJc w:val="right"/>
      <w:pPr>
        <w:tabs>
          <w:tab w:val="num" w:pos="0"/>
        </w:tabs>
        <w:ind w:left="6225" w:hanging="180"/>
      </w:p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32"/>
  <w:defaultTabStop w:val="708"/>
  <w:autoHyphenation w:val="true"/>
  <w:compat>
    <w:compatSetting w:name="compatibilityMode" w:uri="http://schemas.microsoft.com/office/word" w:val="12"/>
  </w:compat>
  <w:hyphenationZone w:val="283"/>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it-IT"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0"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70927"/>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it-IT" w:eastAsia="en-US" w:bidi="ar-SA"/>
    </w:rPr>
  </w:style>
  <w:style w:type="character" w:styleId="DefaultParagraphFont" w:default="1">
    <w:name w:val="Default Paragraph Font"/>
    <w:uiPriority w:val="1"/>
    <w:semiHidden/>
    <w:unhideWhenUsed/>
    <w:qFormat/>
    <w:rPr/>
  </w:style>
  <w:style w:type="character" w:styleId="CollegamentoInternet">
    <w:name w:val="Collegamento Internet"/>
    <w:basedOn w:val="DefaultParagraphFont"/>
    <w:uiPriority w:val="99"/>
    <w:unhideWhenUsed/>
    <w:rsid w:val="00f62ee1"/>
    <w:rPr>
      <w:color w:val="0000FF" w:themeColor="hyperlink"/>
      <w:u w:val="single"/>
    </w:rPr>
  </w:style>
  <w:style w:type="character" w:styleId="CorpotestoCarattere" w:customStyle="1">
    <w:name w:val="Corpo testo Carattere"/>
    <w:uiPriority w:val="99"/>
    <w:semiHidden/>
    <w:qFormat/>
    <w:rsid w:val="00f51ec0"/>
    <w:rPr>
      <w:rFonts w:ascii="Times New Roman" w:hAnsi="Times New Roman" w:cs="Times New Roman"/>
    </w:rPr>
  </w:style>
  <w:style w:type="character" w:styleId="CorpodeltestoCarattere" w:customStyle="1">
    <w:name w:val="Corpo del testo Carattere"/>
    <w:basedOn w:val="DefaultParagraphFont"/>
    <w:link w:val="Corpodeltesto"/>
    <w:uiPriority w:val="99"/>
    <w:semiHidden/>
    <w:qFormat/>
    <w:rsid w:val="00f51ec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link w:val="CorpodeltestoCarattere"/>
    <w:uiPriority w:val="99"/>
    <w:semiHidden/>
    <w:unhideWhenUsed/>
    <w:rsid w:val="00f51ec0"/>
    <w:pPr>
      <w:spacing w:before="0" w:after="12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ListParagraph">
    <w:name w:val="List Paragraph"/>
    <w:basedOn w:val="Normal"/>
    <w:qFormat/>
    <w:rsid w:val="00056ee4"/>
    <w:pPr>
      <w:spacing w:before="0" w:after="200"/>
      <w:ind w:left="720" w:hanging="0"/>
      <w:contextualSpacing/>
    </w:pPr>
    <w:rPr/>
  </w:style>
  <w:style w:type="paragraph" w:styleId="Standard" w:customStyle="1">
    <w:name w:val="Standard"/>
    <w:uiPriority w:val="99"/>
    <w:qFormat/>
    <w:rsid w:val="00a41137"/>
    <w:pPr>
      <w:widowControl/>
      <w:suppressAutoHyphens w:val="true"/>
      <w:bidi w:val="0"/>
      <w:spacing w:lineRule="auto" w:line="240" w:before="0" w:after="0"/>
      <w:jc w:val="left"/>
    </w:pPr>
    <w:rPr>
      <w:rFonts w:ascii="Times New Roman" w:hAnsi="Times New Roman" w:eastAsia="Times New Roman" w:cs="Times New Roman"/>
      <w:color w:val="000000"/>
      <w:spacing w:val="22"/>
      <w:kern w:val="0"/>
      <w:sz w:val="24"/>
      <w:szCs w:val="20"/>
      <w:lang w:val="it-IT" w:eastAsia="zh-CN" w:bidi="ar-SA"/>
    </w:rPr>
  </w:style>
  <w:style w:type="paragraph" w:styleId="NoSpacing">
    <w:name w:val="No Spacing"/>
    <w:uiPriority w:val="1"/>
    <w:qFormat/>
    <w:rsid w:val="00e85f6a"/>
    <w:pPr>
      <w:widowControl/>
      <w:suppressAutoHyphens w:val="true"/>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it-IT" w:eastAsia="en-US" w:bidi="ar-SA"/>
    </w:rPr>
  </w:style>
  <w:style w:type="paragraph" w:styleId="NormalWeb">
    <w:name w:val="Normal (Web)"/>
    <w:basedOn w:val="Normal"/>
    <w:uiPriority w:val="99"/>
    <w:unhideWhenUsed/>
    <w:qFormat/>
    <w:rsid w:val="004552fd"/>
    <w:pPr>
      <w:spacing w:lineRule="auto" w:line="240" w:beforeAutospacing="1" w:afterAutospacing="1"/>
    </w:pPr>
    <w:rPr>
      <w:rFonts w:ascii="Times New Roman" w:hAnsi="Times New Roman" w:eastAsia="Times New Roman" w:cs="Times New Roman"/>
      <w:sz w:val="24"/>
      <w:szCs w:val="24"/>
      <w:lang w:eastAsia="it-IT"/>
    </w:rPr>
  </w:style>
  <w:style w:type="paragraph" w:styleId="Default" w:customStyle="1">
    <w:name w:val="Default"/>
    <w:qFormat/>
    <w:rsid w:val="00697cc2"/>
    <w:pPr>
      <w:widowControl/>
      <w:suppressAutoHyphens w:val="true"/>
      <w:bidi w:val="0"/>
      <w:spacing w:lineRule="auto" w:line="240" w:before="0" w:after="0"/>
      <w:jc w:val="left"/>
    </w:pPr>
    <w:rPr>
      <w:rFonts w:ascii="Times New Roman" w:hAnsi="Times New Roman" w:eastAsia="Calibri" w:cs="Times New Roman"/>
      <w:color w:val="000000"/>
      <w:kern w:val="0"/>
      <w:sz w:val="24"/>
      <w:szCs w:val="24"/>
      <w:lang w:val="it-IT" w:eastAsia="en-US" w:bidi="ar-SA"/>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CellMar>
        <w:top w:w="0" w:type="dxa"/>
        <w:left w:w="108" w:type="dxa"/>
        <w:bottom w:w="0" w:type="dxa"/>
        <w:right w:w="108" w:type="dxa"/>
      </w:tblCellMar>
    </w:tblPr>
  </w:style>
  <w:style w:type="table" w:styleId="Grigliatabella">
    <w:name w:val="Table Grid"/>
    <w:basedOn w:val="Tabellanormale"/>
    <w:uiPriority w:val="59"/>
    <w:rsid w:val="004d681a"/>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oleObject" Target="embeddings/oleObject1.bin"/><Relationship Id="rId3" Type="http://schemas.openxmlformats.org/officeDocument/2006/relationships/image" Target="media/image1.png"/><Relationship Id="rId4" Type="http://schemas.openxmlformats.org/officeDocument/2006/relationships/hyperlink" Target="http://www.comune.messina.it/" TargetMode="External"/><Relationship Id="rId5" Type="http://schemas.openxmlformats.org/officeDocument/2006/relationships/hyperlink" Target="mailto:protocollo@pec.comune.messina.it" TargetMode="External"/><Relationship Id="rId6" Type="http://schemas.openxmlformats.org/officeDocument/2006/relationships/hyperlink" Target="mailto:protocollo@pec.comune.messina.it" TargetMode="External"/><Relationship Id="rId7" Type="http://schemas.openxmlformats.org/officeDocument/2006/relationships/hyperlink" Target="http://www.comune.messina.it/" TargetMode="External"/><Relationship Id="rId8" Type="http://schemas.openxmlformats.org/officeDocument/2006/relationships/hyperlink" Target="http://www.comune.messina.it/" TargetMode="External"/><Relationship Id="rId9" Type="http://schemas.openxmlformats.org/officeDocument/2006/relationships/hyperlink" Target="mailto:protocollo@pec.comune.messina.it" TargetMode="External"/><Relationship Id="rId10" Type="http://schemas.openxmlformats.org/officeDocument/2006/relationships/hyperlink" Target="mailto:p.russo@comune.messina.it" TargetMode="Externa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485</TotalTime>
  <Application>LibreOffice/7.1.2.2$Windows_X86_64 LibreOffice_project/8a45595d069ef5570103caea1b71cc9d82b2aae4</Application>
  <AppVersion>15.0000</AppVersion>
  <Pages>10</Pages>
  <Words>4918</Words>
  <Characters>28987</Characters>
  <CharactersWithSpaces>34047</CharactersWithSpaces>
  <Paragraphs>210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2022-09-06T13:55:00Z</dcterms:created>
  <dc:creator>Antonella Saccà</dc:creator>
  <dc:description/>
  <dc:language>it-IT</dc:language>
  <cp:lastModifiedBy/>
  <cp:lastPrinted>2022-11-09T13:54:00Z</cp:lastPrinted>
  <dcterms:modified xsi:type="dcterms:W3CDTF">2023-02-15T12:06:29Z</dcterms:modified>
  <cp:revision>57</cp:revision>
  <dc:subject/>
  <dc:title/>
</cp:coreProperties>
</file>

<file path=docProps/custom.xml><?xml version="1.0" encoding="utf-8"?>
<Properties xmlns="http://schemas.openxmlformats.org/officeDocument/2006/custom-properties" xmlns:vt="http://schemas.openxmlformats.org/officeDocument/2006/docPropsVTypes"/>
</file>