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embeddings/oleObject1.bin" ContentType="application/vnd.openxmlformats-officedocument.oleObject"/>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eastAsia="" w:eastAsiaTheme="minorEastAsia"/>
          <w:lang w:eastAsia="it-IT"/>
        </w:rPr>
      </w:pPr>
      <w:r>
        <w:rPr/>
        <w:object>
          <v:shapetype id="shapetype_ole_rId2" coordsize="21600,21600" o:spt="ole_rId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 type="shapetype_ole_rId2" style="width:44.2pt;height:56.05pt;mso-wrap-distance-right:0pt" filled="f" o:ole="">
            <v:imagedata r:id="rId3" o:title=""/>
          </v:shape>
          <o:OLEObject Type="Embed" ProgID="Word.Picture.8" ShapeID="ole_rId2" DrawAspect="Content" ObjectID="_2111624827" r:id="rId2"/>
        </w:object>
      </w:r>
    </w:p>
    <w:p>
      <w:pPr>
        <w:pStyle w:val="Normal"/>
        <w:spacing w:lineRule="auto" w:line="240" w:before="0" w:after="0"/>
        <w:jc w:val="center"/>
        <w:rPr>
          <w:rFonts w:ascii="Times New Roman" w:hAnsi="Times New Roman" w:cs="Times New Roman"/>
          <w:b/>
          <w:b/>
          <w:sz w:val="40"/>
          <w:szCs w:val="40"/>
        </w:rPr>
      </w:pPr>
      <w:r>
        <w:rPr>
          <w:rFonts w:cs="Times New Roman" w:ascii="Times New Roman" w:hAnsi="Times New Roman"/>
          <w:b/>
          <w:sz w:val="40"/>
          <w:szCs w:val="40"/>
        </w:rPr>
        <w:t>Città di Messina</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t>AVVISO PUBBLICO</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SELEZIONE DI N. 1 ESPERTO DI ALTA SPECIALIZZAZIONE GEOLOGO NELL’AMBITO DELL’ATTUAZIONE DEI PROGETTI RICADENTI NEL PNRR - PROFILO SENIOR.</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 legislativo 30 marzo 2001, n. 165 recante “Norme generali sull’ordinamento del lavoro alle dipendenze delle amministrazioni pubbliche” e ss.mm. e ii.;</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decreto-legge 31 maggio 2021 n. 77, recante “Governance del Piano Nazionale di Rilancio e Resilienza e prime misure di rafforzamento delle strutture amministrative e di accelerazione e snellimento delle procedure”, convertito, con modificazioni, dalla legge n. 108 del 29 luglio 2021; in particolare, l’articolo 8, del suddetto decreto-legge n. 77/2021 ai sensi del quale ciascuna amministrazione è titolare di interventi previsti nel PNRR, provvede al coordinamento delle relative attività di gestione, nonché al loro monitoraggio, rendicontazione e controllo;</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il decreto-legge 9 giugno 2021, n. 80 recante “Misure per il rafforzamento della capacità amministrativa delle pubbliche amministrazioni funzionale all'attuazione del Piano nazionale di ripresa e resilienza (PNRR) e per l'efficienza della giustizia”, convertito, con modificazioni, dalla legge n. 113 del 6 agosto 2021, ed in particolare l’art.7, comma 4 per cui le amministrazioni titolari possono avvalersi di un contingente di esperti di comprovata qualificazione professionale nelle materie oggetto degli interventi e che detti incarichi di cui al medesimo comma 4 sono conferiti ai sensi dell’art. 7, co. 6, del Decreto legislativo 30 marzo 2001, n. 165 e con le modalità di cui all’art.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per la durata massima di 36 mesi;</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VISTA</w:t>
      </w:r>
      <w:r>
        <w:rPr>
          <w:rFonts w:cs="Times New Roman" w:ascii="Times New Roman" w:hAnsi="Times New Roman"/>
          <w:sz w:val="24"/>
          <w:szCs w:val="24"/>
        </w:rPr>
        <w:t xml:space="preserve"> La Legge n. 233 del 29 dicembre 2021 che ha previsto uno stanziamento di 67 milioni di euro per il reclutamento di professionisti e personale in possesso di alta specializzazione da destinare agli Enti Locali per l’attuazione del PNRR e della politica di coesione. </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VISTO</w:t>
      </w:r>
      <w:r>
        <w:rPr>
          <w:rFonts w:cs="Times New Roman" w:ascii="Times New Roman" w:hAnsi="Times New Roman"/>
          <w:sz w:val="24"/>
          <w:szCs w:val="24"/>
        </w:rPr>
        <w:t xml:space="preserve"> l’articolo 11 comma 2 del Decreto Legge 30 aprile 2022, n.36 convertito con modificazioni con legge. n. 79 del 29 giugno 2022 recante “Ulteriori misure urgenti per l’attuazione del Piano Nazionale di Ripresa e Resilienza (PNRR)”;</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DATO ATTO: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con comunicazione acquisita al protocollo generale al n. 190223 in data 27/07/2022 l’ Agenzia per la Coesione Territoriale comunicava  che il Comune Città di Messina è destinatario delle risorse per la stipula di contratto di collaborazione ex art. 7, commi 6 e 6 bis del D.lgs. 165/2001 con N. 1 Esperto di alta specializzazione Geologo, nell’ambito degli interventi del PNRR, profilo senior;</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che nello specifico l’unità che l’Ente ha scelto di selezionare direttamente, secondo quanto previsto dal Regolamento dell’Agenzia per la Coesione territoriale per il conferimento degli incarichi di lavoro autonomo n. 107 del 8/06/2018, corrisponde al  profilo di  senior  con impiego per un massimale di 80 giornate in tre anni e per un budget di spesa complessiva per il triennio pari ad € 40.320,00, corrispondente ad un costo/giornata di € 504,00 al lordo di IVA e degli oneri previdenziali (euro 400,00 importo netto);</w:t>
      </w:r>
    </w:p>
    <w:p>
      <w:pPr>
        <w:pStyle w:val="Normal"/>
        <w:spacing w:before="0" w:after="0"/>
        <w:jc w:val="both"/>
        <w:rPr>
          <w:rFonts w:ascii="Times New Roman" w:hAnsi="Times New Roman" w:cs="Times New Roman"/>
          <w:sz w:val="24"/>
          <w:szCs w:val="24"/>
        </w:rPr>
      </w:pPr>
      <w:r>
        <w:rPr>
          <w:rFonts w:cs="Times New Roman" w:ascii="Times New Roman" w:hAnsi="Times New Roman"/>
          <w:b/>
          <w:sz w:val="24"/>
          <w:szCs w:val="24"/>
        </w:rPr>
        <w:t>RITENUTO</w:t>
      </w:r>
      <w:r>
        <w:rPr>
          <w:rFonts w:cs="Times New Roman" w:ascii="Times New Roman" w:hAnsi="Times New Roman"/>
          <w:sz w:val="24"/>
          <w:szCs w:val="24"/>
        </w:rPr>
        <w:t xml:space="preserve"> necessario attivare il supporto di che trattasi per l’avvio e l’attuazione degli interventi del PNRR di cui l’Ente è beneficiario, specificatamente alle funzioni di geologo;</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DATO ATTO: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che con avviso di interpello interno del </w:t>
      </w:r>
      <w:r>
        <w:rPr>
          <w:rFonts w:cs="Times New Roman" w:ascii="Times New Roman" w:hAnsi="Times New Roman"/>
          <w:sz w:val="24"/>
          <w:szCs w:val="24"/>
          <w:shd w:fill="auto" w:val="clear"/>
        </w:rPr>
        <w:t>31/10/2022</w:t>
      </w:r>
      <w:r>
        <w:rPr>
          <w:rFonts w:cs="Times New Roman" w:ascii="Times New Roman" w:hAnsi="Times New Roman"/>
          <w:sz w:val="24"/>
          <w:szCs w:val="24"/>
          <w:shd w:fill="auto" w:val="clear"/>
        </w:rPr>
        <w:t xml:space="preserve"> </w:t>
      </w:r>
      <w:r>
        <w:rPr>
          <w:rFonts w:cs="Times New Roman" w:ascii="Times New Roman" w:hAnsi="Times New Roman"/>
          <w:sz w:val="24"/>
          <w:szCs w:val="24"/>
        </w:rPr>
        <w:t xml:space="preserve"> si informava il personale dipendente interessato di segnalare la   propria eventuale candidatura per l’affidamento dell’incarico di che trattasi;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-che l’interpello ha dato esito negativo, atteso che nei termini indicati nel sopracitato avviso nessuna candidatura è pervenuta, appurando pertanto l’indisponibilità e l’impossibilità di utilizzare le risorse di personale interno per l’ambito di competenza ed esperienza ricercato.</w:t>
      </w:r>
    </w:p>
    <w:p>
      <w:pPr>
        <w:pStyle w:val="Normal"/>
        <w:spacing w:lineRule="auto" w:line="240" w:before="240" w:after="0"/>
        <w:jc w:val="center"/>
        <w:rPr>
          <w:rFonts w:ascii="Times New Roman" w:hAnsi="Times New Roman" w:cs="Times New Roman"/>
          <w:b/>
          <w:b/>
          <w:sz w:val="24"/>
          <w:szCs w:val="24"/>
        </w:rPr>
      </w:pPr>
      <w:r>
        <w:rPr>
          <w:rFonts w:cs="Times New Roman" w:ascii="Times New Roman" w:hAnsi="Times New Roman"/>
          <w:b/>
          <w:sz w:val="24"/>
          <w:szCs w:val="24"/>
        </w:rPr>
        <w:t>RENDE NOTO</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1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Oggetto dell’incarico e requisiti professionali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Il presente Avviso ha ad oggetto la selezione di n. 1 esperto di alta specializzazione in funzioni di Geologo – profilo SENIOR – con  specifica e comprovata esperienza di almeno 7 anni nel settore, per il conferimento di un incarico di lavoro di natura autonoma a mezzo di valutazione comparativa, ai sensi dell’art. 7, comma 6, del Decreto legislativo 30 marzo 2001, n. 165 e s.m.i., per l’attuazione degli interventi ricadenti nel PNRR a titolarità del Comune della Città di Messina.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Il profilo ricercato è quello di </w:t>
      </w:r>
      <w:r>
        <w:rPr>
          <w:rFonts w:cs="Times New Roman" w:ascii="Times New Roman" w:hAnsi="Times New Roman"/>
          <w:b/>
          <w:i/>
          <w:sz w:val="24"/>
          <w:szCs w:val="24"/>
        </w:rPr>
        <w:t>Esperto di alta specializzazione Geologo – Profilo SENIOR con esperienza lavorativa di almeno sette  anni</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L’esperienza è riferita agli anni di attività professionale presso la P.A. o privati, nonché libera professione, nell’ambito di interventi per la realizzazione di opere pubbliche.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1.In particolare è richiesta: esperienza  nell’attività di ricerca  e analisi propedeutica alle valutazioni di impatto ambientale di progetti ed opere dell’ingegneria civile o di altre attività, nello svolgimento di studi e analisi per l’attività di prevenzione e risanamento dei fenomeni di dissesto idrogeologico e instabilità dei versanti, di sistemazione e gestione dei bacini idrografici.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2.Il professionista svolgerà l’incarico a supporto dell’Amministrazione nella gestione delle procedure complesse, per il recupero dell’arretrato, nell’assistenza per la presentazione dei progetti e nelle attività di misurazione dei tempi effettivi di conclusione delle procedure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3.Ai fini del calcolo degli anni di esperienza professionale si considerano gli anni di esperienza espressi in mesi, anche non continuativi, riferiti appunto alla durata dei contratti.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mese viene considerato per intero laddove l’esperto abbia prestato la propria attività per un tempo</w:t>
      </w:r>
    </w:p>
    <w:p>
      <w:pPr>
        <w:pStyle w:val="Normal"/>
        <w:tabs>
          <w:tab w:val="clear" w:pos="708"/>
          <w:tab w:val="left" w:pos="2470" w:leader="none"/>
        </w:tabs>
        <w:spacing w:before="0" w:after="0"/>
        <w:jc w:val="both"/>
        <w:rPr>
          <w:rFonts w:ascii="Times New Roman" w:hAnsi="Times New Roman" w:cs="Times New Roman"/>
          <w:sz w:val="24"/>
          <w:szCs w:val="24"/>
        </w:rPr>
      </w:pPr>
      <w:r>
        <w:rPr>
          <w:rFonts w:cs="Times New Roman" w:ascii="Times New Roman" w:hAnsi="Times New Roman"/>
          <w:sz w:val="24"/>
          <w:szCs w:val="24"/>
        </w:rPr>
        <w:t>superiore a 15 giorni.</w:t>
        <w:tab/>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Non sono cumulabili le esperienze lavorative svolte contemporaneamente nello stesso periodo per cui andrà specificata (nella domanda di partecipazione – Allegato n. 1) l’esperienza ritenuta più qualificante per ciascun singolo periodo contrattuale non sovrapponibile.</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Art. 2</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Requisiti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Il presente avviso è corredato dell’allegato n. 1 “</w:t>
      </w:r>
      <w:r>
        <w:rPr>
          <w:rFonts w:cs="Times New Roman" w:ascii="Times New Roman" w:hAnsi="Times New Roman"/>
          <w:i/>
          <w:sz w:val="24"/>
          <w:szCs w:val="24"/>
        </w:rPr>
        <w:t>Domanda di partecipazione</w:t>
      </w:r>
      <w:r>
        <w:rPr>
          <w:rFonts w:cs="Times New Roman" w:ascii="Times New Roman" w:hAnsi="Times New Roman"/>
          <w:sz w:val="24"/>
          <w:szCs w:val="24"/>
        </w:rPr>
        <w:t>”, che costituisce parte integrante e sostanziale dello stesso.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Per partecipare alla selezione i candidati, alla data di scadenza del termine per la presentazione delle domande, devono possedere i seguenti requisiti di ammissibilità, così come indicati nella domanda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essere in possesso della cittadinanza italiana o di uno degli Stati membri dell'Unione europea (ad</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eccezione delle ipotesi di cui all’art. 38 del d. Lgs. n. 165/2001 e s.m.i.).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Ai sensi dell’art. 38 del D.Lgs. n. 165/2001 e s.m.i., possono inoltre partecipare i familiari dei cittadini degli Stati membri dell'Unione europea non aventi la cittadinanza di uno Stato membro che siano titolari del diritto di soggiorno o del diritto di soggiorno permanente oppure i cittadini di Paesi Terzi che siano titolari del permesso di soggiorno CE per soggiornanti di lungo periodo o che siano titolari dello status di rifugiato ovvero dello status di protezione sussidiaria, ai sensi di quanto previsto dalla normativa vigente.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b) godere dei diritti civili e politici;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 non aver riportato condanne penali e non essere destinatario di provvedimenti che riguardano l’applicazione di misure di prevenzione, di decisioni civili e di provvedimenti amministrativi iscritti nel casellario giudiziale;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 non essere sottoposto a procedimenti penali;</w:t>
      </w:r>
    </w:p>
    <w:p>
      <w:pPr>
        <w:pStyle w:val="NormalWeb"/>
        <w:spacing w:beforeAutospacing="0" w:before="0" w:afterAutospacing="0" w:after="0"/>
        <w:jc w:val="both"/>
        <w:rPr/>
      </w:pPr>
      <w:r>
        <w:rPr/>
        <w:t>e) essere in possesso del seguente titolo di studio: Laurea in scienze geologiche o equipollente conseguito con l’ordinamento di studi previgente al D.M.03.11.1999, n. 509 (vecchio ordinamento) o corrispondente Laurea Specialistica/Magistrale conseguita con il nuovo ordinamento secondo l’equiparazione di cui alla normativa vigente (DL, LM, LS esclusa quella triennale);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f) essere in possesso dell’abilitazione all’esercizio della professione di geologo;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g) essere in possesso di comprovata esperienza professionale strettamente correlata al contenuto della prestazione richiesta e delle competenze ricercate.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possesso del requisito inerente la comprovata esperienza professionale, strettamente correlata al contenuto della prestazione richiesta” (lettera g) deve essere dichiarato nella domanda di partecipazione di cui all’Allegato n. 1, specificando il periodo di esperienza maturata nel settore richiesto e comunque non meno di sette anni.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Tutti i requisiti prescritti devono essere posseduti alla data di scadenza del termine utile per la presentazione della domanda di partecipazione e devono persistere, inoltre, al momento dell'eventuale contrattualizzazione del rapporto di lavoro. Devono essere dichiarati i requisiti solo se documentabili, anche ai fini dei controlli successivi.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La presentazione della domanda di partecipazione alla selezione di cui al presente Avviso ha valenza di piena accettazione delle condizioni in esso riportate, di piena consapevolezza della natura autonoma del rapporto lavorativo, nonché, di conoscenza ed accettazione delle norme, condizioni e prescrizioni dettate nel presente Avviso e in tutta la documentazione allegata.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5. Il presente Avviso e la successiva selezione non impegnano in alcun modo il comune di Messina al conferimento degli incarichi, e quest'ultimo si riserva la facoltà, a suo insindacabile giudizio, di sospendere o revocare in qualsiasi momento la selezione, tramite comunicazione sul sito web </w:t>
      </w:r>
      <w:hyperlink r:id="rId4">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senza che i concorrenti possano vantare alcun diritto.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6. L'esito positivo della selezione e l’utile inserimento in graduatoria, non genera in alcun modo obbligo di conferimento dell'incarico da parte del Comune.</w:t>
      </w:r>
    </w:p>
    <w:p>
      <w:pPr>
        <w:pStyle w:val="Normal"/>
        <w:spacing w:before="0" w:after="0"/>
        <w:jc w:val="center"/>
        <w:rPr>
          <w:rFonts w:ascii="Times New Roman" w:hAnsi="Times New Roman" w:cs="Times New Roman"/>
          <w:sz w:val="24"/>
          <w:szCs w:val="24"/>
        </w:rPr>
      </w:pPr>
      <w:r>
        <w:rPr>
          <w:rFonts w:cs="Times New Roman" w:ascii="Times New Roman" w:hAnsi="Times New Roman"/>
          <w:b/>
          <w:sz w:val="24"/>
          <w:szCs w:val="24"/>
        </w:rPr>
        <w:t>Art. 3</w:t>
      </w:r>
      <w:r>
        <w:rPr>
          <w:rFonts w:cs="Times New Roman" w:ascii="Times New Roman" w:hAnsi="Times New Roman"/>
          <w:sz w:val="24"/>
          <w:szCs w:val="24"/>
        </w:rPr>
        <w:t xml:space="preserve">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Presentazione della domanda di partecipazione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1.La domanda di partecipazione  alla selezione, resa ai sensi e per gli effetti del D.P.R. n.445/2000, deve essere presentata a far data dalla pubblicazione del presente avviso, deve pervenire entro e non oltre le ore</w:t>
      </w:r>
      <w:r>
        <w:rPr>
          <w:rFonts w:cs="Times New Roman" w:ascii="Times New Roman" w:hAnsi="Times New Roman"/>
          <w:sz w:val="24"/>
          <w:szCs w:val="24"/>
          <w:shd w:fill="auto" w:val="clear"/>
        </w:rPr>
        <w:t xml:space="preserve">  23:59 del giorno 16 mese Marzo anno 2023 e</w:t>
      </w:r>
      <w:r>
        <w:rPr>
          <w:rFonts w:cs="Times New Roman" w:ascii="Times New Roman" w:hAnsi="Times New Roman"/>
          <w:sz w:val="24"/>
          <w:szCs w:val="24"/>
        </w:rPr>
        <w:t xml:space="preserve"> deve rispettare, </w:t>
      </w:r>
      <w:r>
        <w:rPr>
          <w:rFonts w:cs="Times New Roman" w:ascii="Times New Roman" w:hAnsi="Times New Roman"/>
          <w:b/>
          <w:sz w:val="24"/>
          <w:szCs w:val="24"/>
        </w:rPr>
        <w:t>pena l’esclusione</w:t>
      </w:r>
      <w:r>
        <w:rPr>
          <w:rFonts w:cs="Times New Roman" w:ascii="Times New Roman" w:hAnsi="Times New Roman"/>
          <w:sz w:val="24"/>
          <w:szCs w:val="24"/>
        </w:rPr>
        <w:t>, le prescrizioni e le modalità di trasmissione di seguito riportate: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essere redatta e conforme allo schema di cui all'Allegato n. 1 al presente Avviso, lasciando inalterati i contenuti anche laddove non di pertinenza del candidato. Le parti di dichiarazione vanno sempre rese, anche se negative, pertanto lasciando vuoto o “barrando” lo spazio che si ritiene di non dover compilare perché non di pertinenza. Sono escluse le domande presentate con modalità diverse;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b) essere sottoscritta con </w:t>
      </w:r>
      <w:r>
        <w:rPr>
          <w:rFonts w:cs="Times New Roman" w:ascii="Times New Roman" w:hAnsi="Times New Roman"/>
          <w:b/>
          <w:sz w:val="24"/>
          <w:szCs w:val="24"/>
          <w:u w:val="single"/>
        </w:rPr>
        <w:t>firma autografa sull'ultima pagina (con firma per esteso e leggibile),</w:t>
      </w:r>
      <w:r>
        <w:rPr>
          <w:rFonts w:cs="Times New Roman" w:ascii="Times New Roman" w:hAnsi="Times New Roman"/>
          <w:sz w:val="24"/>
          <w:szCs w:val="24"/>
        </w:rPr>
        <w:t xml:space="preserve"> successivamente scansionata in formato pdf in un unico file. È possibile la presentazione della domanda firmata digitalmente;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 essere corredata degli allegati di seguito indicati che devono rispettare le caratteristiche richieste: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Curriculum vitae (CV)</w:t>
      </w:r>
      <w:r>
        <w:rPr>
          <w:rFonts w:cs="Times New Roman" w:ascii="Times New Roman" w:hAnsi="Times New Roman"/>
          <w:sz w:val="24"/>
          <w:szCs w:val="24"/>
        </w:rPr>
        <w:t xml:space="preserve"> in formato europeo, scansionato in formato Pdf, deve essere trasmesso, in un unico file, separato dalla domanda e dal documento di identità. Nel CV devono risultare le esperienze professionali, nonché tutti gli elementi utili alla valutazione delle competenze ed esperienze specifiche richieste e i “Titoli” di cui all’art. 5 del presente Avviso che devono essere coerenti e riconducibili al profilo per il quale si presenta la domanda. Gli elementi oggetto di valutazione (es. contratti di lavoro, titoli, etc.) devono essere documentabili ai fini dei successi controlli di cui all’art.4, comma 12 del presente Avviso. La documentazione probante sarà successivamente richiesta dall’Amministrazione, non essendo necessario allegarla nella fase di presentazione della domanda.</w:t>
      </w:r>
    </w:p>
    <w:p>
      <w:pPr>
        <w:pStyle w:val="Normal"/>
        <w:spacing w:before="0" w:after="0"/>
        <w:jc w:val="both"/>
        <w:rPr>
          <w:rFonts w:ascii="Times New Roman" w:hAnsi="Times New Roman" w:cs="Times New Roman"/>
          <w:b/>
          <w:b/>
          <w:sz w:val="24"/>
          <w:szCs w:val="24"/>
          <w:u w:val="single"/>
        </w:rPr>
      </w:pPr>
      <w:r>
        <w:rPr>
          <w:rFonts w:cs="Times New Roman" w:ascii="Times New Roman" w:hAnsi="Times New Roman"/>
          <w:sz w:val="24"/>
          <w:szCs w:val="24"/>
        </w:rPr>
        <w:t xml:space="preserve">Il curriculum vitae, in lingua italiana, </w:t>
      </w:r>
      <w:r>
        <w:rPr>
          <w:rFonts w:cs="Times New Roman" w:ascii="Times New Roman" w:hAnsi="Times New Roman"/>
          <w:b/>
          <w:sz w:val="24"/>
          <w:szCs w:val="24"/>
          <w:u w:val="single"/>
        </w:rPr>
        <w:t>datato e sottoscritto all’ultima pagina con firma autografa (con firma per esteso e leggibile), o con firma digitale</w:t>
      </w:r>
      <w:r>
        <w:rPr>
          <w:rFonts w:cs="Times New Roman" w:ascii="Times New Roman" w:hAnsi="Times New Roman"/>
          <w:sz w:val="24"/>
          <w:szCs w:val="24"/>
        </w:rPr>
        <w:t xml:space="preserve">, deve essere redatto rispettando gli standard del formato europeo (formato europeo tradizionale o formato Europass  ed in formato pdf in un unico file. Deve inoltre riportare </w:t>
      </w:r>
      <w:r>
        <w:rPr>
          <w:rFonts w:cs="Times New Roman" w:ascii="Times New Roman" w:hAnsi="Times New Roman"/>
          <w:b/>
          <w:sz w:val="24"/>
          <w:szCs w:val="24"/>
          <w:u w:val="single"/>
        </w:rPr>
        <w:t>“l’autorizzazione al trattamento dei dati personali ai  sensi</w:t>
      </w:r>
      <w:r>
        <w:rPr>
          <w:rFonts w:eastAsia="Batang, 바탕" w:cs="Times New Roman" w:ascii="Times New Roman" w:hAnsi="Times New Roman"/>
          <w:lang w:eastAsia="it-IT"/>
        </w:rPr>
        <w:t xml:space="preserve"> </w:t>
      </w:r>
      <w:r>
        <w:rPr>
          <w:rFonts w:eastAsia="Batang, 바탕" w:cs="Times New Roman" w:ascii="Times New Roman" w:hAnsi="Times New Roman"/>
          <w:b/>
          <w:sz w:val="24"/>
          <w:szCs w:val="24"/>
          <w:u w:val="single"/>
          <w:lang w:eastAsia="it-IT"/>
        </w:rPr>
        <w:t xml:space="preserve">del Regolamento UE 2016/679 (GDPR) – (Regolamento Europeo relativo al trattamento dei dati personali)  e della normativa nazionale (D.Lgs. 196/2003 modificato dal D.Lgs. n. 101/2018) e </w:t>
      </w:r>
      <w:r>
        <w:rPr>
          <w:rFonts w:cs="Times New Roman" w:ascii="Times New Roman" w:hAnsi="Times New Roman"/>
          <w:b/>
          <w:sz w:val="24"/>
          <w:szCs w:val="24"/>
          <w:u w:val="single"/>
        </w:rPr>
        <w:t xml:space="preserve"> la dichiarazione di veridicità dei dati ai sensi del D.P.R. n. 445/2000 e ss.mm.ii.”;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b/>
          <w:sz w:val="24"/>
          <w:szCs w:val="24"/>
        </w:rPr>
        <w:t>Copia di un documento di identità</w:t>
      </w:r>
      <w:r>
        <w:rPr>
          <w:rFonts w:cs="Times New Roman" w:ascii="Times New Roman" w:hAnsi="Times New Roman"/>
          <w:sz w:val="24"/>
          <w:szCs w:val="24"/>
        </w:rPr>
        <w:t xml:space="preserve"> del sottoscrittore in corso di validità, trasmesso in formato pdf in un unico file separato dalla domanda e dal CV.</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2.  I candidati devono autorizzare il trattamento dei dati personali per le finalità e con le modalità di cui al </w:t>
      </w:r>
      <w:r>
        <w:rPr>
          <w:rFonts w:eastAsia="Batang, 바탕" w:cs="Times New Roman" w:ascii="Times New Roman" w:hAnsi="Times New Roman"/>
          <w:sz w:val="24"/>
          <w:szCs w:val="24"/>
          <w:lang w:eastAsia="it-IT"/>
        </w:rPr>
        <w:t>Regolamento UE 2016/679 (GDPR) – (Regolamento Europeo relativo al trattamento dei dati personali)  e della normativa nazionale (D.Lgs. 196/2003 modificato dal D.Lgs. n. 101/2018).</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3. La trasmissione della domanda di partecipazione, del CV e del documento di identità, ciascuno di essi in PDF, deve avvenire solo in formato elettronico tramite Posta Elettronica Certificata (PEC) - a mezzo di una unica posta elettronica certificata (PEC) contenente i 3 file separati - al seguente indirizzo Direzione Generale del Comune di Messina PEC:  </w:t>
      </w:r>
      <w:hyperlink r:id="rId5">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L’oggetto della PEC deve riportare la dicitura: “</w:t>
      </w:r>
      <w:r>
        <w:rPr>
          <w:rFonts w:cs="Times New Roman" w:ascii="Times New Roman" w:hAnsi="Times New Roman"/>
          <w:b/>
          <w:i/>
          <w:sz w:val="24"/>
          <w:szCs w:val="24"/>
        </w:rPr>
        <w:t xml:space="preserve">Esperto di alta specializzazione geologo – Profilo SENIOR </w:t>
      </w:r>
      <w:r>
        <w:rPr>
          <w:rFonts w:cs="Times New Roman" w:ascii="Times New Roman" w:hAnsi="Times New Roman"/>
          <w:sz w:val="24"/>
          <w:szCs w:val="24"/>
        </w:rPr>
        <w:t>- PNRR”.</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domanda deve pervenire dal candidato mediante la propria casella di Posta Elettronica Certificata secondo le vigenti disposizioni (art. 65 D.Lgs. n. 82/2005) ossia da PEC la cui titolarità sia associata all'identità del candidato.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Ai fini dell’ammissibilità fa fede l’orario di ricezione della domanda di partecipazione presso la citata casella PEC del Comune di Messina.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La mancanza di un allegato, nonché, la non conformità alle caratteristiche richieste comporta l'esclusione della domanda.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Non saranno prese in considerazione le domande/documentazioni sostitutive, aggiuntive o integrative che perverranno al Comune oltre il termine fissato per la ricezione delle domande o secondo modalità diverse da quella descritta nei precedenti commi o che dovessero risultare incomplete. Il Comune inoltre non risponde di eventuali ritardi e/o disguidi, erronee comunicazioni, quale ne sia la causa o comunque imputabili al candidato o a fatto di terzi, a caso fortuito o forza maggiore, in ordine alle domande e/o documenti pervenuti oltre il predetto termine.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6. Il recapito che il candidato elegge ai fini della procedura è quello della Posta Elettronica Certificata (PEC) da cui perviene la domanda di partecipazione. Ogni sua eventuale variazione deve essere comunicata           tempestivamente           tramite           PEC           al           citato           indirizzo: Direzione Generale del Comune di Messina PEC </w:t>
      </w:r>
      <w:hyperlink r:id="rId6">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7. In caso di irreperibilità del candidato per fatto non imputabile al Comune  (a causa per es. della disattivazione dell’account di PEC e/o di casella elettronica piena” o non funzionante, etc.), le comunicazioni si intendono regolarmente effettuate.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presentazione della domanda di partecipazione alla selezione di cui al presente Avviso ha valenza di piena accettazione delle condizioni in esso riportate, di piena consapevolezza della natura autonoma del rapporto lavorativo nonché di conoscenza ed accettazione delle norme, condizioni e prescrizioni dettate nel presente Avviso e in tutta la documentazione allegata.</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4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Procedura di selezione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1.E’ garantita la parità di accesso a tutte le posizioni nel rispetto dell’equità di genere, religione, idee, cultura e ogni altra caratteristica personale.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Responsabile del Procedimento scaduti i termini per la presentazione della domanda, provvede a verificare che le domande siano pervenute entro i termini e con le modalità stabilite all' art. 3 del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2. Ai fini della verifica di cui al precedente comma, costituiscono </w:t>
      </w:r>
      <w:r>
        <w:rPr>
          <w:rFonts w:cs="Times New Roman" w:ascii="Times New Roman" w:hAnsi="Times New Roman"/>
          <w:b/>
          <w:sz w:val="24"/>
          <w:szCs w:val="24"/>
        </w:rPr>
        <w:t>cause di inammissibilità</w:t>
      </w:r>
      <w:r>
        <w:rPr>
          <w:rFonts w:cs="Times New Roman" w:ascii="Times New Roman" w:hAnsi="Times New Roman"/>
          <w:sz w:val="24"/>
          <w:szCs w:val="24"/>
        </w:rPr>
        <w:t>:</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la presentazione della domanda redatta secondo uno schema diverso dall’Allegato 1 al presente Avviso. Le dichiarazioni vanno sempre rese, anche se negative.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b) la presentazione della domanda priva della dichiarazione resa ai sensi del D.P.R. n. 445/2000 e s.m.i., come riportato nello schema di cui all’Allegato 1 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c) la presentazione della domanda priva della dichiarazione resa ai sensi </w:t>
      </w:r>
      <w:r>
        <w:rPr>
          <w:rFonts w:eastAsia="Batang, 바탕" w:cs="Times New Roman" w:ascii="Times New Roman" w:hAnsi="Times New Roman"/>
          <w:sz w:val="24"/>
          <w:szCs w:val="24"/>
          <w:lang w:eastAsia="it-IT"/>
        </w:rPr>
        <w:t>Regolamento UE 2016/679 (GDPR) – (Regolamento Europeo relativo al trattamento dei dati personali)  e della normativa nazionale (D.Lgs. 196/2003 modificato dal D.Lgs. n. 101/2018)</w:t>
      </w:r>
      <w:r>
        <w:rPr>
          <w:rFonts w:cs="Times New Roman" w:ascii="Times New Roman" w:hAnsi="Times New Roman"/>
          <w:sz w:val="24"/>
          <w:szCs w:val="24"/>
        </w:rPr>
        <w:t xml:space="preserve"> sull’autorizzazione al trattamento dei dati personali, come riportato nello schema di cui all’Allegato 1 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 la mancanza della firma del candidato sulla domanda (fatto salvo il caso in cui la domanda venga firmata digitalmente);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e) la mancanza del curriculum vitae;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f) la mancanza della copia del documento di identità;</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g) la presentazione della domanda e/o del curriculum vitae in formato diverso da pdf;</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h) la presentazione della domanda oltre il termine fissato dal presente 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 la trasmissione della domanda e degli allegati, all’indirizzo PEC indicato nell’Avviso, con un</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mezzo diverso dalla PEC;</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j) la trasmissione della domanda e degli allegati, ad un indirizzo PEC diverso da quello indicato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nell’Avviso;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k) essere collocato in quiescenza alla data di pubblicazione dell’Avviso.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La procedura selettiva sarà esperita attraverso la comparazione dei curricula e lo svolgimento di successivi colloqui e sarà affidata ad una Commissione esaminatrice che sarà nominata scaduti i termini di presentazione delle candidature.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Commissione  sarà composta da tre membri, un Presidente e due Componenti, coadiuvati da un Segretario che possono svolgere i propri lavori anche con modalità telematiche o informatiche tramite l’impiego di tecnologie che permettono la partecipazione e comunicazione a distanza.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4. La Commissione procede alla valutazione attraverso le seguenti </w:t>
      </w:r>
      <w:r>
        <w:rPr>
          <w:rFonts w:cs="Times New Roman" w:ascii="Times New Roman" w:hAnsi="Times New Roman"/>
          <w:b/>
          <w:sz w:val="24"/>
          <w:szCs w:val="24"/>
        </w:rPr>
        <w:t>fasi: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fase a</w:t>
      </w:r>
      <w:r>
        <w:rPr>
          <w:rFonts w:cs="Times New Roman" w:ascii="Times New Roman" w:hAnsi="Times New Roman"/>
          <w:sz w:val="24"/>
          <w:szCs w:val="24"/>
        </w:rPr>
        <w:t xml:space="preserve">) valutazione dei titoli sulla base dei criteri indicati al successivo art.5 de dell’Avviso. È prevista l'assegnazione di un punteggio massimo di </w:t>
      </w:r>
      <w:r>
        <w:rPr>
          <w:rFonts w:cs="Times New Roman" w:ascii="Times New Roman" w:hAnsi="Times New Roman"/>
          <w:b/>
          <w:sz w:val="24"/>
          <w:szCs w:val="24"/>
        </w:rPr>
        <w:t>20 punti</w:t>
      </w:r>
      <w:r>
        <w:rPr>
          <w:rFonts w:cs="Times New Roman" w:ascii="Times New Roman" w:hAnsi="Times New Roman"/>
          <w:sz w:val="24"/>
          <w:szCs w:val="24"/>
        </w:rPr>
        <w:t>; sono valutate solo le esperienze di cui siano desumibili tutti i dati e le informazioni necessari e sufficienti per permettere alla Commissione di effettuare la valutazione, specificando l'Amministrazione/ente/soggetto per il quale si è prestata l’attività, il periodo (giorno, mese e anno di inizio e fine), l’oggetto dell’incarico e le attività svolte.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Concorrono alla valutazione i titoli indicati nella domanda, gli anni di attività professionale maturati e le esperienze maturate e descritte nel CV, che devono coincidere.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fase b)</w:t>
      </w:r>
      <w:r>
        <w:rPr>
          <w:rFonts w:cs="Times New Roman" w:ascii="Times New Roman" w:hAnsi="Times New Roman"/>
          <w:sz w:val="24"/>
          <w:szCs w:val="24"/>
        </w:rPr>
        <w:t xml:space="preserve"> colloquio individuale diretto a valutare le competenze ed esperienze dichiarate nel CV, nonché l'attitudine del candidato in relazione all'oggetto dell'incarico e alla specifiche competenze richieste. È prevista 1'assegnazione di un punteggio massimo di 3</w:t>
      </w:r>
      <w:r>
        <w:rPr>
          <w:rFonts w:cs="Times New Roman" w:ascii="Times New Roman" w:hAnsi="Times New Roman"/>
          <w:b/>
          <w:sz w:val="24"/>
          <w:szCs w:val="24"/>
        </w:rPr>
        <w:t>0 punti.</w:t>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Il punteggio massimo complessivo attribuibile nelle due fasi è di 50 punti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La Commissione, al termine della fase a) redige una prima graduatoria di merito contenente l’elenco dei nominativi dei candidati secondo l’ordine di merito.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6. Per la valutazione finale e sulla base delle risultanze della fase a), sono invitati al colloquio, attraverso comunicazione PEC, di cui alla fase b) un numero di candidati pari a </w:t>
      </w:r>
      <w:r>
        <w:rPr>
          <w:rFonts w:cs="Times New Roman" w:ascii="Times New Roman" w:hAnsi="Times New Roman"/>
          <w:sz w:val="24"/>
          <w:szCs w:val="24"/>
          <w:highlight w:val="yellow"/>
        </w:rPr>
        <w:t>5 volte</w:t>
      </w:r>
      <w:r>
        <w:rPr>
          <w:rFonts w:cs="Times New Roman" w:ascii="Times New Roman" w:hAnsi="Times New Roman"/>
          <w:sz w:val="24"/>
          <w:szCs w:val="24"/>
        </w:rPr>
        <w:t xml:space="preserve"> il numero della posizione richiesta, secondo l’ordine della citata graduatoria di merito, e saranno compresi gli eventuali parità di punteggio.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Si procede comunque al colloquio anche in presenza di un solo candidato.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7. I candidati ammessi a colloquio (se del caso anche in modalità telematica) saranno convocati – con indicazione di data e di orario del colloquio - tramite PEC e i nominativi degli stessi pubblicati sul sito del Comune.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8. La rinuncia e/o l’assenza ingiustificata nella data e nell’ora stabilita del colloquio, comporta l’esclusione dalla procedura selettiva</w:t>
      </w:r>
    </w:p>
    <w:p>
      <w:pPr>
        <w:pStyle w:val="Normal"/>
        <w:rPr/>
      </w:pPr>
      <w:r>
        <w:rPr>
          <w:sz w:val="24"/>
          <w:szCs w:val="24"/>
        </w:rPr>
        <w:t xml:space="preserve">9. Al termine della fase b) la Commissione formula la rispettiva graduatoria finale, sommando i punteggi della fase a) e b). </w:t>
      </w:r>
      <w:r>
        <w:rPr>
          <w:rFonts w:eastAsia="Batang, 바탕"/>
          <w:iCs/>
          <w:sz w:val="24"/>
          <w:szCs w:val="24"/>
        </w:rPr>
        <w:t>Nella formulazione della graduatoria di merito la Commissione dovrà tenere conto di quanto previsto dall’art. 5 del DPR n. 487/94 e ss.mm. e ii. in materia di categorie riservatarie e preferenze.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“graduatoria finale” è predisposta dalla Commissione secondo l’ordine di merito e contiene: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il “vincitore”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gli “idonei” (coloro che, avendo superato le fasi a) e b), rimangono in posizione utile in caso di eventuale scorrimento della graduatoria.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10. Il RUP, verificata la legittimità della procedura, adotta il provvedimento di approvazione della graduatoria finale.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11. Il provvedimento contenente la “graduatoria finale” sarà pubblicato sul sito del Comune </w:t>
      </w:r>
      <w:hyperlink r:id="rId7">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con valore di notifica a tutti gli effetti di legge. La medesima “graduatoria finale” avrà una durata di 36 mesi dalla data della pubblicazione.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12. Il Comune, per il vincitore, procede ad idonei controlli sulla veridicità di quanto dichiarato in sede di partecipazione e nel curriculum vitae. Si applicano, ove ve ne siano i presupposti, le  disposizioni di cui all'art. 76 del D.P.R. 445/2000 e s.m.i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 caso di conferimento dell'incarico, la stipula del contratto è subordinata alla presentazione da parte del candidato selezionato di una dichiarazione resa ai sensi e per gli effetti del DPR 445/2000 e s.m.i. riguardante, tra 1’altro, l’insussistenza di situazioni di conflitto di interesse, di incompatibilità. di cause di inconferibilità. Siffatte situazioni soggettive dovranno perdurare per l’intera durata dell’incarico.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Inoltre, laddove il candidato vincitore sia dipendente di pubblica amministrazione dovrà presentare ai sensi dell'art.53 del D.Lgs.165/2001, apposita autorizzazione da parte dell'amministrazioni di appartenenza, senza la quale non si potrà procedere alla contrattualizzazione dell’incarico.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13. Il presente Avviso e la successiva selezione non impegnano in alcun modo il Comune al conferimento dell’incarico e quest’ultimo si riserva la facoltà, a suo insindacabile giudizio, di sospendere o revocare in qualsiasi momento la selezione, tramite comunicazione sul sito istituzionale del Comune, senza che i concorrenti possano vantare alcun diritto.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14. L’esito positivo della selezione e l'utile inserimento in graduatoria non generano in alcun modo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l’obbligo di conferimento dell'incarico da parte del comune.</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5.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Criteri di valutazione</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Il Comune individuerà il soggetto a cui conferire l'incarico mediante procedura di selezione volta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in particolare a verificare la coerenza e la corrispondenza circa l'esperienza professionale in relazione alle competenze specifiche richieste e la coerenza con gli ambiti di intervento e le attività per cui il candidato si propone in base alle esperienze indicate nel curriculum.</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La Commissione attribuirà al curriculum max 30 punti secondo criteri di seguito riportati.</w:t>
      </w:r>
    </w:p>
    <w:tbl>
      <w:tblPr>
        <w:tblW w:w="9636" w:type="dxa"/>
        <w:jc w:val="left"/>
        <w:tblInd w:w="112" w:type="dxa"/>
        <w:tblLayout w:type="fixed"/>
        <w:tblCellMar>
          <w:top w:w="0" w:type="dxa"/>
          <w:left w:w="5" w:type="dxa"/>
          <w:bottom w:w="0" w:type="dxa"/>
          <w:right w:w="5" w:type="dxa"/>
        </w:tblCellMar>
        <w:tblLook w:val="0000"/>
      </w:tblPr>
      <w:tblGrid>
        <w:gridCol w:w="6659"/>
        <w:gridCol w:w="2976"/>
      </w:tblGrid>
      <w:tr>
        <w:trPr>
          <w:trHeight w:val="562" w:hRule="exact"/>
        </w:trPr>
        <w:tc>
          <w:tcPr>
            <w:tcW w:w="9635" w:type="dxa"/>
            <w:gridSpan w:val="2"/>
            <w:tcBorders>
              <w:top w:val="single" w:sz="4" w:space="0" w:color="000000"/>
              <w:left w:val="single" w:sz="4" w:space="0" w:color="000000"/>
              <w:bottom w:val="single" w:sz="4" w:space="0" w:color="000000"/>
              <w:right w:val="single" w:sz="4" w:space="0" w:color="000000"/>
            </w:tcBorders>
            <w:shd w:color="auto" w:fill="ADAAAA" w:val="clear"/>
          </w:tcPr>
          <w:p>
            <w:pPr>
              <w:pStyle w:val="Normal"/>
              <w:widowControl w:val="false"/>
              <w:spacing w:lineRule="exact" w:line="274" w:before="0" w:after="0"/>
              <w:ind w:right="3686" w:hanging="0"/>
              <w:rPr>
                <w:rFonts w:ascii="Times New Roman" w:hAnsi="Times New Roman" w:cs="Times New Roman"/>
                <w:b/>
                <w:b/>
                <w:sz w:val="24"/>
                <w:szCs w:val="24"/>
              </w:rPr>
            </w:pPr>
            <w:r>
              <w:rPr>
                <w:rFonts w:cs="Times New Roman" w:ascii="Times New Roman" w:hAnsi="Times New Roman"/>
                <w:b/>
                <w:sz w:val="24"/>
                <w:szCs w:val="24"/>
              </w:rPr>
            </w:r>
          </w:p>
        </w:tc>
      </w:tr>
      <w:tr>
        <w:trPr>
          <w:trHeight w:val="562" w:hRule="exact"/>
        </w:trPr>
        <w:tc>
          <w:tcPr>
            <w:tcW w:w="6659" w:type="dxa"/>
            <w:tcBorders>
              <w:top w:val="single" w:sz="4" w:space="0" w:color="000000"/>
              <w:left w:val="single" w:sz="4" w:space="0" w:color="000000"/>
              <w:bottom w:val="single" w:sz="4" w:space="0" w:color="000000"/>
              <w:right w:val="single" w:sz="4" w:space="0" w:color="000000"/>
            </w:tcBorders>
            <w:shd w:color="auto" w:fill="F1F1F1" w:val="clear"/>
          </w:tcPr>
          <w:p>
            <w:pPr>
              <w:pStyle w:val="ListParagraph"/>
              <w:widowControl w:val="false"/>
              <w:numPr>
                <w:ilvl w:val="0"/>
                <w:numId w:val="1"/>
              </w:numPr>
              <w:spacing w:lineRule="exact" w:line="274" w:before="0" w:after="0"/>
              <w:ind w:left="465" w:right="-20" w:hanging="360"/>
              <w:contextualSpacing/>
              <w:rPr>
                <w:rFonts w:ascii="Times New Roman" w:hAnsi="Times New Roman" w:cs="Times New Roman"/>
                <w:sz w:val="24"/>
                <w:szCs w:val="24"/>
              </w:rPr>
            </w:pPr>
            <w:r>
              <w:rPr>
                <w:rFonts w:cs="Times New Roman" w:ascii="Times New Roman" w:hAnsi="Times New Roman"/>
                <w:b/>
                <w:bCs/>
                <w:sz w:val="24"/>
                <w:szCs w:val="24"/>
              </w:rPr>
              <w:t xml:space="preserve">Titoli </w:t>
            </w:r>
            <w:r>
              <w:rPr>
                <w:rFonts w:cs="Times New Roman" w:ascii="Times New Roman" w:hAnsi="Times New Roman"/>
                <w:b/>
                <w:bCs/>
                <w:spacing w:val="1"/>
                <w:sz w:val="24"/>
                <w:szCs w:val="24"/>
              </w:rPr>
              <w:t>d</w:t>
            </w:r>
            <w:r>
              <w:rPr>
                <w:rFonts w:cs="Times New Roman" w:ascii="Times New Roman" w:hAnsi="Times New Roman"/>
                <w:b/>
                <w:bCs/>
                <w:sz w:val="24"/>
                <w:szCs w:val="24"/>
              </w:rPr>
              <w:t>i st</w:t>
            </w:r>
            <w:r>
              <w:rPr>
                <w:rFonts w:cs="Times New Roman" w:ascii="Times New Roman" w:hAnsi="Times New Roman"/>
                <w:b/>
                <w:bCs/>
                <w:spacing w:val="-2"/>
                <w:sz w:val="24"/>
                <w:szCs w:val="24"/>
              </w:rPr>
              <w:t>u</w:t>
            </w:r>
            <w:r>
              <w:rPr>
                <w:rFonts w:cs="Times New Roman" w:ascii="Times New Roman" w:hAnsi="Times New Roman"/>
                <w:b/>
                <w:bCs/>
                <w:spacing w:val="1"/>
                <w:sz w:val="24"/>
                <w:szCs w:val="24"/>
              </w:rPr>
              <w:t>d</w:t>
            </w:r>
            <w:r>
              <w:rPr>
                <w:rFonts w:cs="Times New Roman" w:ascii="Times New Roman" w:hAnsi="Times New Roman"/>
                <w:b/>
                <w:bCs/>
                <w:sz w:val="24"/>
                <w:szCs w:val="24"/>
              </w:rPr>
              <w:t xml:space="preserve">io e </w:t>
            </w:r>
            <w:r>
              <w:rPr>
                <w:rFonts w:cs="Times New Roman" w:ascii="Times New Roman" w:hAnsi="Times New Roman"/>
                <w:b/>
                <w:bCs/>
                <w:spacing w:val="1"/>
                <w:sz w:val="24"/>
                <w:szCs w:val="24"/>
              </w:rPr>
              <w:t>d</w:t>
            </w:r>
            <w:r>
              <w:rPr>
                <w:rFonts w:cs="Times New Roman" w:ascii="Times New Roman" w:hAnsi="Times New Roman"/>
                <w:b/>
                <w:bCs/>
                <w:sz w:val="24"/>
                <w:szCs w:val="24"/>
              </w:rPr>
              <w:t xml:space="preserve">i </w:t>
            </w:r>
            <w:r>
              <w:rPr>
                <w:rFonts w:cs="Times New Roman" w:ascii="Times New Roman" w:hAnsi="Times New Roman"/>
                <w:b/>
                <w:bCs/>
                <w:spacing w:val="1"/>
                <w:sz w:val="24"/>
                <w:szCs w:val="24"/>
              </w:rPr>
              <w:t>f</w:t>
            </w:r>
            <w:r>
              <w:rPr>
                <w:rFonts w:cs="Times New Roman" w:ascii="Times New Roman" w:hAnsi="Times New Roman"/>
                <w:b/>
                <w:bCs/>
                <w:sz w:val="24"/>
                <w:szCs w:val="24"/>
              </w:rPr>
              <w:t>o</w:t>
            </w:r>
            <w:r>
              <w:rPr>
                <w:rFonts w:cs="Times New Roman" w:ascii="Times New Roman" w:hAnsi="Times New Roman"/>
                <w:b/>
                <w:bCs/>
                <w:spacing w:val="-1"/>
                <w:sz w:val="24"/>
                <w:szCs w:val="24"/>
              </w:rPr>
              <w:t>r</w:t>
            </w:r>
            <w:r>
              <w:rPr>
                <w:rFonts w:cs="Times New Roman" w:ascii="Times New Roman" w:hAnsi="Times New Roman"/>
                <w:b/>
                <w:bCs/>
                <w:spacing w:val="-3"/>
                <w:sz w:val="24"/>
                <w:szCs w:val="24"/>
              </w:rPr>
              <w:t>m</w:t>
            </w:r>
            <w:r>
              <w:rPr>
                <w:rFonts w:cs="Times New Roman" w:ascii="Times New Roman" w:hAnsi="Times New Roman"/>
                <w:b/>
                <w:bCs/>
                <w:spacing w:val="2"/>
                <w:sz w:val="24"/>
                <w:szCs w:val="24"/>
              </w:rPr>
              <w:t>a</w:t>
            </w:r>
            <w:r>
              <w:rPr>
                <w:rFonts w:cs="Times New Roman" w:ascii="Times New Roman" w:hAnsi="Times New Roman"/>
                <w:b/>
                <w:bCs/>
                <w:spacing w:val="-1"/>
                <w:sz w:val="24"/>
                <w:szCs w:val="24"/>
              </w:rPr>
              <w:t>z</w:t>
            </w:r>
            <w:r>
              <w:rPr>
                <w:rFonts w:cs="Times New Roman" w:ascii="Times New Roman" w:hAnsi="Times New Roman"/>
                <w:b/>
                <w:bCs/>
                <w:sz w:val="24"/>
                <w:szCs w:val="24"/>
              </w:rPr>
              <w:t>io</w:t>
            </w:r>
            <w:r>
              <w:rPr>
                <w:rFonts w:cs="Times New Roman" w:ascii="Times New Roman" w:hAnsi="Times New Roman"/>
                <w:b/>
                <w:bCs/>
                <w:spacing w:val="1"/>
                <w:sz w:val="24"/>
                <w:szCs w:val="24"/>
              </w:rPr>
              <w:t>n</w:t>
            </w:r>
            <w:r>
              <w:rPr>
                <w:rFonts w:cs="Times New Roman" w:ascii="Times New Roman" w:hAnsi="Times New Roman"/>
                <w:b/>
                <w:bCs/>
                <w:sz w:val="24"/>
                <w:szCs w:val="24"/>
              </w:rPr>
              <w:t>e</w:t>
            </w:r>
          </w:p>
        </w:tc>
        <w:tc>
          <w:tcPr>
            <w:tcW w:w="2976" w:type="dxa"/>
            <w:tcBorders>
              <w:top w:val="single" w:sz="4" w:space="0" w:color="000000"/>
              <w:left w:val="single" w:sz="4" w:space="0" w:color="000000"/>
              <w:bottom w:val="single" w:sz="4" w:space="0" w:color="000000"/>
              <w:right w:val="single" w:sz="4" w:space="0" w:color="000000"/>
            </w:tcBorders>
            <w:shd w:color="auto" w:fill="F1F1F1" w:val="clear"/>
          </w:tcPr>
          <w:p>
            <w:pPr>
              <w:pStyle w:val="Normal"/>
              <w:widowControl w:val="false"/>
              <w:spacing w:lineRule="exact" w:line="274" w:before="0" w:after="0"/>
              <w:ind w:left="105" w:right="-20" w:hanging="0"/>
              <w:rPr>
                <w:rFonts w:ascii="Times New Roman" w:hAnsi="Times New Roman" w:cs="Times New Roman"/>
                <w:sz w:val="24"/>
                <w:szCs w:val="24"/>
              </w:rPr>
            </w:pPr>
            <w:r>
              <w:rPr>
                <w:rFonts w:cs="Times New Roman" w:ascii="Times New Roman" w:hAnsi="Times New Roman"/>
                <w:b/>
                <w:bCs/>
                <w:spacing w:val="-3"/>
                <w:sz w:val="24"/>
                <w:szCs w:val="24"/>
              </w:rPr>
              <w:t>P</w:t>
            </w:r>
            <w:r>
              <w:rPr>
                <w:rFonts w:cs="Times New Roman" w:ascii="Times New Roman" w:hAnsi="Times New Roman"/>
                <w:b/>
                <w:bCs/>
                <w:spacing w:val="1"/>
                <w:sz w:val="24"/>
                <w:szCs w:val="24"/>
              </w:rPr>
              <w:t>un</w:t>
            </w:r>
            <w:r>
              <w:rPr>
                <w:rFonts w:cs="Times New Roman" w:ascii="Times New Roman" w:hAnsi="Times New Roman"/>
                <w:b/>
                <w:bCs/>
                <w:sz w:val="24"/>
                <w:szCs w:val="24"/>
              </w:rPr>
              <w:t xml:space="preserve">ti </w:t>
            </w:r>
            <w:r>
              <w:rPr>
                <w:rFonts w:cs="Times New Roman" w:ascii="Times New Roman" w:hAnsi="Times New Roman"/>
                <w:b/>
                <w:bCs/>
                <w:spacing w:val="-3"/>
                <w:sz w:val="24"/>
                <w:szCs w:val="24"/>
              </w:rPr>
              <w:t>m</w:t>
            </w:r>
            <w:r>
              <w:rPr>
                <w:rFonts w:cs="Times New Roman" w:ascii="Times New Roman" w:hAnsi="Times New Roman"/>
                <w:b/>
                <w:bCs/>
                <w:sz w:val="24"/>
                <w:szCs w:val="24"/>
              </w:rPr>
              <w:t>ax 5</w:t>
            </w:r>
          </w:p>
        </w:tc>
      </w:tr>
      <w:tr>
        <w:trPr>
          <w:trHeight w:val="247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pacing w:val="-3"/>
                <w:sz w:val="24"/>
                <w:szCs w:val="24"/>
              </w:rPr>
              <w:t>L</w:t>
            </w:r>
            <w:r>
              <w:rPr>
                <w:rFonts w:cs="Times New Roman" w:ascii="Times New Roman" w:hAnsi="Times New Roman"/>
                <w:spacing w:val="-1"/>
                <w:sz w:val="24"/>
                <w:szCs w:val="24"/>
              </w:rPr>
              <w:t>a</w:t>
            </w:r>
            <w:r>
              <w:rPr>
                <w:rFonts w:cs="Times New Roman" w:ascii="Times New Roman" w:hAnsi="Times New Roman"/>
                <w:spacing w:val="2"/>
                <w:sz w:val="24"/>
                <w:szCs w:val="24"/>
              </w:rPr>
              <w:t>u</w:t>
            </w:r>
            <w:r>
              <w:rPr>
                <w:rFonts w:cs="Times New Roman" w:ascii="Times New Roman" w:hAnsi="Times New Roman"/>
                <w:sz w:val="24"/>
                <w:szCs w:val="24"/>
              </w:rPr>
              <w:t>rea in Scienze Geologiche o equipollente v</w:t>
            </w:r>
            <w:r>
              <w:rPr>
                <w:rFonts w:cs="Times New Roman" w:ascii="Times New Roman" w:hAnsi="Times New Roman"/>
                <w:spacing w:val="-1"/>
                <w:sz w:val="24"/>
                <w:szCs w:val="24"/>
              </w:rPr>
              <w:t>e</w:t>
            </w:r>
            <w:r>
              <w:rPr>
                <w:rFonts w:cs="Times New Roman" w:ascii="Times New Roman" w:hAnsi="Times New Roman"/>
                <w:spacing w:val="1"/>
                <w:sz w:val="24"/>
                <w:szCs w:val="24"/>
              </w:rPr>
              <w:t>c</w:t>
            </w:r>
            <w:r>
              <w:rPr>
                <w:rFonts w:cs="Times New Roman" w:ascii="Times New Roman" w:hAnsi="Times New Roman"/>
                <w:spacing w:val="-1"/>
                <w:sz w:val="24"/>
                <w:szCs w:val="24"/>
              </w:rPr>
              <w:t>c</w:t>
            </w:r>
            <w:r>
              <w:rPr>
                <w:rFonts w:cs="Times New Roman" w:ascii="Times New Roman" w:hAnsi="Times New Roman"/>
                <w:sz w:val="24"/>
                <w:szCs w:val="24"/>
              </w:rPr>
              <w:t>hio ordin</w:t>
            </w:r>
            <w:r>
              <w:rPr>
                <w:rFonts w:cs="Times New Roman" w:ascii="Times New Roman" w:hAnsi="Times New Roman"/>
                <w:spacing w:val="-1"/>
                <w:sz w:val="24"/>
                <w:szCs w:val="24"/>
              </w:rPr>
              <w:t>a</w:t>
            </w:r>
            <w:r>
              <w:rPr>
                <w:rFonts w:cs="Times New Roman" w:ascii="Times New Roman" w:hAnsi="Times New Roman"/>
                <w:sz w:val="24"/>
                <w:szCs w:val="24"/>
              </w:rPr>
              <w:t>mento o Ma</w:t>
            </w:r>
            <w:r>
              <w:rPr>
                <w:rFonts w:cs="Times New Roman" w:ascii="Times New Roman" w:hAnsi="Times New Roman"/>
                <w:spacing w:val="-3"/>
                <w:sz w:val="24"/>
                <w:szCs w:val="24"/>
              </w:rPr>
              <w:t>g</w:t>
            </w:r>
            <w:r>
              <w:rPr>
                <w:rFonts w:cs="Times New Roman" w:ascii="Times New Roman" w:hAnsi="Times New Roman"/>
                <w:sz w:val="24"/>
                <w:szCs w:val="24"/>
              </w:rPr>
              <w:t>is</w:t>
            </w:r>
            <w:r>
              <w:rPr>
                <w:rFonts w:cs="Times New Roman" w:ascii="Times New Roman" w:hAnsi="Times New Roman"/>
                <w:spacing w:val="1"/>
                <w:sz w:val="24"/>
                <w:szCs w:val="24"/>
              </w:rPr>
              <w:t>t</w:t>
            </w:r>
            <w:r>
              <w:rPr>
                <w:rFonts w:cs="Times New Roman" w:ascii="Times New Roman" w:hAnsi="Times New Roman"/>
                <w:sz w:val="24"/>
                <w:szCs w:val="24"/>
              </w:rPr>
              <w:t>r</w:t>
            </w:r>
            <w:r>
              <w:rPr>
                <w:rFonts w:cs="Times New Roman" w:ascii="Times New Roman" w:hAnsi="Times New Roman"/>
                <w:spacing w:val="-2"/>
                <w:sz w:val="24"/>
                <w:szCs w:val="24"/>
              </w:rPr>
              <w:t>a</w:t>
            </w:r>
            <w:r>
              <w:rPr>
                <w:rFonts w:cs="Times New Roman" w:ascii="Times New Roman" w:hAnsi="Times New Roman"/>
                <w:spacing w:val="3"/>
                <w:sz w:val="24"/>
                <w:szCs w:val="24"/>
              </w:rPr>
              <w:t>l</w:t>
            </w:r>
            <w:r>
              <w:rPr>
                <w:rFonts w:cs="Times New Roman" w:ascii="Times New Roman" w:hAnsi="Times New Roman"/>
                <w:sz w:val="24"/>
                <w:szCs w:val="24"/>
              </w:rPr>
              <w:t>e o sp</w:t>
            </w:r>
            <w:r>
              <w:rPr>
                <w:rFonts w:cs="Times New Roman" w:ascii="Times New Roman" w:hAnsi="Times New Roman"/>
                <w:spacing w:val="-1"/>
                <w:sz w:val="24"/>
                <w:szCs w:val="24"/>
              </w:rPr>
              <w:t>ec</w:t>
            </w:r>
            <w:r>
              <w:rPr>
                <w:rFonts w:cs="Times New Roman" w:ascii="Times New Roman" w:hAnsi="Times New Roman"/>
                <w:sz w:val="24"/>
                <w:szCs w:val="24"/>
              </w:rPr>
              <w:t>ialis</w:t>
            </w:r>
            <w:r>
              <w:rPr>
                <w:rFonts w:cs="Times New Roman" w:ascii="Times New Roman" w:hAnsi="Times New Roman"/>
                <w:spacing w:val="1"/>
                <w:sz w:val="24"/>
                <w:szCs w:val="24"/>
              </w:rPr>
              <w:t>t</w:t>
            </w:r>
            <w:r>
              <w:rPr>
                <w:rFonts w:cs="Times New Roman" w:ascii="Times New Roman" w:hAnsi="Times New Roman"/>
                <w:sz w:val="24"/>
                <w:szCs w:val="24"/>
              </w:rPr>
              <w:t>ica (</w:t>
            </w:r>
            <w:r>
              <w:rPr>
                <w:rFonts w:cs="Times New Roman" w:ascii="Times New Roman" w:hAnsi="Times New Roman"/>
                <w:spacing w:val="1"/>
                <w:sz w:val="24"/>
                <w:szCs w:val="24"/>
              </w:rPr>
              <w:t>D</w:t>
            </w:r>
            <w:r>
              <w:rPr>
                <w:rFonts w:cs="Times New Roman" w:ascii="Times New Roman" w:hAnsi="Times New Roman"/>
                <w:spacing w:val="-3"/>
                <w:sz w:val="24"/>
                <w:szCs w:val="24"/>
              </w:rPr>
              <w:t>L</w:t>
            </w:r>
            <w:r>
              <w:rPr>
                <w:rFonts w:cs="Times New Roman" w:ascii="Times New Roman" w:hAnsi="Times New Roman"/>
                <w:sz w:val="24"/>
                <w:szCs w:val="24"/>
              </w:rPr>
              <w:t>,</w:t>
            </w:r>
            <w:r>
              <w:rPr>
                <w:rFonts w:cs="Times New Roman" w:ascii="Times New Roman" w:hAnsi="Times New Roman"/>
                <w:spacing w:val="-3"/>
                <w:sz w:val="24"/>
                <w:szCs w:val="24"/>
              </w:rPr>
              <w:t>L</w:t>
            </w:r>
            <w:r>
              <w:rPr>
                <w:rFonts w:cs="Times New Roman" w:ascii="Times New Roman" w:hAnsi="Times New Roman"/>
                <w:sz w:val="24"/>
                <w:szCs w:val="24"/>
              </w:rPr>
              <w:t>M,</w:t>
            </w:r>
            <w:r>
              <w:rPr>
                <w:rFonts w:cs="Times New Roman" w:ascii="Times New Roman" w:hAnsi="Times New Roman"/>
                <w:spacing w:val="-5"/>
                <w:sz w:val="24"/>
                <w:szCs w:val="24"/>
              </w:rPr>
              <w:t>L</w:t>
            </w:r>
            <w:r>
              <w:rPr>
                <w:rFonts w:cs="Times New Roman" w:ascii="Times New Roman" w:hAnsi="Times New Roman"/>
                <w:sz w:val="24"/>
                <w:szCs w:val="24"/>
              </w:rPr>
              <w:t xml:space="preserve">S </w:t>
            </w:r>
            <w:r>
              <w:rPr>
                <w:rFonts w:cs="Times New Roman" w:ascii="Times New Roman" w:hAnsi="Times New Roman"/>
                <w:spacing w:val="-1"/>
                <w:sz w:val="24"/>
                <w:szCs w:val="24"/>
              </w:rPr>
              <w:t>e</w:t>
            </w:r>
            <w:r>
              <w:rPr>
                <w:rFonts w:cs="Times New Roman" w:ascii="Times New Roman" w:hAnsi="Times New Roman"/>
                <w:sz w:val="24"/>
                <w:szCs w:val="24"/>
              </w:rPr>
              <w:t>s</w:t>
            </w:r>
            <w:r>
              <w:rPr>
                <w:rFonts w:cs="Times New Roman" w:ascii="Times New Roman" w:hAnsi="Times New Roman"/>
                <w:spacing w:val="-1"/>
                <w:sz w:val="24"/>
                <w:szCs w:val="24"/>
              </w:rPr>
              <w:t>c</w:t>
            </w:r>
            <w:r>
              <w:rPr>
                <w:rFonts w:cs="Times New Roman" w:ascii="Times New Roman" w:hAnsi="Times New Roman"/>
                <w:sz w:val="24"/>
                <w:szCs w:val="24"/>
              </w:rPr>
              <w:t>lusa q</w:t>
            </w:r>
            <w:r>
              <w:rPr>
                <w:rFonts w:cs="Times New Roman" w:ascii="Times New Roman" w:hAnsi="Times New Roman"/>
                <w:spacing w:val="2"/>
                <w:sz w:val="24"/>
                <w:szCs w:val="24"/>
              </w:rPr>
              <w:t>u</w:t>
            </w:r>
            <w:r>
              <w:rPr>
                <w:rFonts w:cs="Times New Roman" w:ascii="Times New Roman" w:hAnsi="Times New Roman"/>
                <w:spacing w:val="-1"/>
                <w:sz w:val="24"/>
                <w:szCs w:val="24"/>
              </w:rPr>
              <w:t>e</w:t>
            </w:r>
            <w:r>
              <w:rPr>
                <w:rFonts w:cs="Times New Roman" w:ascii="Times New Roman" w:hAnsi="Times New Roman"/>
                <w:sz w:val="24"/>
                <w:szCs w:val="24"/>
              </w:rPr>
              <w:t>l</w:t>
            </w:r>
            <w:r>
              <w:rPr>
                <w:rFonts w:cs="Times New Roman" w:ascii="Times New Roman" w:hAnsi="Times New Roman"/>
                <w:spacing w:val="1"/>
                <w:sz w:val="24"/>
                <w:szCs w:val="24"/>
              </w:rPr>
              <w:t>l</w:t>
            </w:r>
            <w:r>
              <w:rPr>
                <w:rFonts w:cs="Times New Roman" w:ascii="Times New Roman" w:hAnsi="Times New Roman"/>
                <w:sz w:val="24"/>
                <w:szCs w:val="24"/>
              </w:rPr>
              <w:t>a tri</w:t>
            </w:r>
            <w:r>
              <w:rPr>
                <w:rFonts w:cs="Times New Roman" w:ascii="Times New Roman" w:hAnsi="Times New Roman"/>
                <w:spacing w:val="-1"/>
                <w:sz w:val="24"/>
                <w:szCs w:val="24"/>
              </w:rPr>
              <w:t>e</w:t>
            </w:r>
            <w:r>
              <w:rPr>
                <w:rFonts w:cs="Times New Roman" w:ascii="Times New Roman" w:hAnsi="Times New Roman"/>
                <w:sz w:val="24"/>
                <w:szCs w:val="24"/>
              </w:rPr>
              <w:t>nn</w:t>
            </w:r>
            <w:r>
              <w:rPr>
                <w:rFonts w:cs="Times New Roman" w:ascii="Times New Roman" w:hAnsi="Times New Roman"/>
                <w:spacing w:val="-1"/>
                <w:sz w:val="24"/>
                <w:szCs w:val="24"/>
              </w:rPr>
              <w:t>a</w:t>
            </w:r>
            <w:r>
              <w:rPr>
                <w:rFonts w:cs="Times New Roman" w:ascii="Times New Roman" w:hAnsi="Times New Roman"/>
                <w:sz w:val="24"/>
                <w:szCs w:val="24"/>
              </w:rPr>
              <w:t>le)</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Voto conseguito: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Da 100 a 105 punti</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Da 106 a 110</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110 e lode</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t>ulteriore titolo di studio (Laurea specialistica o Magistrale o Laurea</w:t>
            </w:r>
            <w:r>
              <w:rPr>
                <w:sz w:val="24"/>
                <w:szCs w:val="24"/>
              </w:rPr>
              <w:t xml:space="preserve"> </w:t>
            </w:r>
            <w:r>
              <w:rPr>
                <w:rFonts w:cs="Times New Roman" w:ascii="Times New Roman" w:hAnsi="Times New Roman"/>
                <w:sz w:val="24"/>
                <w:szCs w:val="24"/>
              </w:rPr>
              <w:t>a ciclo unico)  rispetto a quello richiesto</w:t>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sz w:val="24"/>
                <w:szCs w:val="24"/>
              </w:rPr>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0,5</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0,75</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1</w:t>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lineRule="exact" w:line="272" w:before="0" w:after="0"/>
              <w:ind w:left="105" w:right="-20" w:hanging="0"/>
              <w:rPr>
                <w:rFonts w:ascii="Times New Roman" w:hAnsi="Times New Roman" w:cs="Times New Roman"/>
                <w:sz w:val="24"/>
                <w:szCs w:val="24"/>
              </w:rPr>
            </w:pPr>
            <w:r>
              <w:rPr>
                <w:rFonts w:cs="Times New Roman" w:ascii="Times New Roman" w:hAnsi="Times New Roman"/>
                <w:sz w:val="24"/>
                <w:szCs w:val="24"/>
              </w:rPr>
              <w:t>Punti 0,25</w:t>
            </w:r>
          </w:p>
        </w:tc>
      </w:tr>
      <w:tr>
        <w:trPr>
          <w:trHeight w:val="562"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20" w:hanging="0"/>
              <w:rPr>
                <w:rFonts w:ascii="Times New Roman" w:hAnsi="Times New Roman" w:cs="Times New Roman"/>
                <w:sz w:val="24"/>
                <w:szCs w:val="24"/>
              </w:rPr>
            </w:pPr>
            <w:r>
              <w:rPr>
                <w:rFonts w:cs="Times New Roman" w:ascii="Times New Roman" w:hAnsi="Times New Roman"/>
              </w:rPr>
              <w:t>abilitazione all’esercizio della professione  (se posseduta più di una abilitazione, è valutabile solo una di esse)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0,5</w:t>
            </w:r>
          </w:p>
        </w:tc>
      </w:tr>
      <w:tr>
        <w:trPr>
          <w:trHeight w:val="83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65" w:right="-20" w:hanging="0"/>
              <w:rPr>
                <w:rFonts w:ascii="Times New Roman" w:hAnsi="Times New Roman" w:cs="Times New Roman"/>
                <w:sz w:val="24"/>
                <w:szCs w:val="24"/>
              </w:rPr>
            </w:pPr>
            <w:r>
              <w:rPr>
                <w:rFonts w:cs="Times New Roman" w:ascii="Times New Roman" w:hAnsi="Times New Roman"/>
                <w:sz w:val="24"/>
                <w:szCs w:val="24"/>
              </w:rPr>
              <w:t>Master universitario di primo livello nelle materie/attività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0,75</w:t>
            </w:r>
          </w:p>
        </w:tc>
      </w:tr>
      <w:tr>
        <w:trPr>
          <w:trHeight w:val="838"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65" w:right="-20" w:hanging="0"/>
              <w:rPr>
                <w:rFonts w:ascii="Times New Roman" w:hAnsi="Times New Roman" w:cs="Times New Roman"/>
                <w:sz w:val="24"/>
                <w:szCs w:val="24"/>
              </w:rPr>
            </w:pPr>
            <w:r>
              <w:rPr>
                <w:rFonts w:cs="Times New Roman" w:ascii="Times New Roman" w:hAnsi="Times New Roman"/>
                <w:sz w:val="24"/>
                <w:szCs w:val="24"/>
              </w:rPr>
              <w:t>Master universitario di secondo livello nelle materie/attività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pacing w:val="1"/>
                <w:sz w:val="24"/>
                <w:szCs w:val="24"/>
              </w:rPr>
            </w:pPr>
            <w:r>
              <w:rPr>
                <w:rFonts w:cs="Times New Roman" w:ascii="Times New Roman" w:hAnsi="Times New Roman"/>
                <w:spacing w:val="1"/>
                <w:sz w:val="24"/>
                <w:szCs w:val="24"/>
              </w:rPr>
              <w:t>Punto 1</w:t>
            </w:r>
          </w:p>
        </w:tc>
      </w:tr>
      <w:tr>
        <w:trPr>
          <w:trHeight w:val="1026"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38" w:hanging="0"/>
              <w:rPr>
                <w:rFonts w:ascii="Times New Roman" w:hAnsi="Times New Roman" w:cs="Times New Roman"/>
                <w:sz w:val="24"/>
                <w:szCs w:val="24"/>
              </w:rPr>
            </w:pPr>
            <w:r>
              <w:rPr>
                <w:rFonts w:cs="Times New Roman" w:ascii="Times New Roman" w:hAnsi="Times New Roman"/>
                <w:sz w:val="24"/>
                <w:szCs w:val="24"/>
              </w:rPr>
              <w:t>Corsi di specializzazione nelle materie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z w:val="24"/>
                <w:szCs w:val="24"/>
              </w:rPr>
            </w:pPr>
            <w:r>
              <w:rPr>
                <w:rFonts w:cs="Times New Roman" w:ascii="Times New Roman" w:hAnsi="Times New Roman"/>
                <w:spacing w:val="1"/>
                <w:sz w:val="24"/>
                <w:szCs w:val="24"/>
              </w:rPr>
              <w:t>P</w:t>
            </w:r>
            <w:r>
              <w:rPr>
                <w:rFonts w:cs="Times New Roman" w:ascii="Times New Roman" w:hAnsi="Times New Roman"/>
                <w:sz w:val="24"/>
                <w:szCs w:val="24"/>
              </w:rPr>
              <w:t>unti 1,5</w:t>
            </w:r>
          </w:p>
        </w:tc>
      </w:tr>
      <w:tr>
        <w:trPr>
          <w:trHeight w:val="714" w:hRule="exact"/>
        </w:trPr>
        <w:tc>
          <w:tcPr>
            <w:tcW w:w="66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105" w:right="38" w:hanging="0"/>
              <w:rPr>
                <w:rFonts w:ascii="Times New Roman" w:hAnsi="Times New Roman" w:cs="Times New Roman"/>
                <w:sz w:val="24"/>
                <w:szCs w:val="24"/>
              </w:rPr>
            </w:pPr>
            <w:r>
              <w:rPr>
                <w:rFonts w:cs="Times New Roman" w:ascii="Times New Roman" w:hAnsi="Times New Roman"/>
                <w:sz w:val="24"/>
                <w:szCs w:val="24"/>
              </w:rPr>
              <w:t>Dottorato di ricerca nelle materie oggetto della selezione</w:t>
            </w:r>
          </w:p>
        </w:tc>
        <w:tc>
          <w:tcPr>
            <w:tcW w:w="29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69" w:before="0" w:after="0"/>
              <w:ind w:left="105" w:right="-20" w:hanging="0"/>
              <w:rPr>
                <w:rFonts w:ascii="Times New Roman" w:hAnsi="Times New Roman" w:cs="Times New Roman"/>
                <w:spacing w:val="1"/>
                <w:sz w:val="24"/>
                <w:szCs w:val="24"/>
              </w:rPr>
            </w:pPr>
            <w:r>
              <w:rPr>
                <w:rFonts w:cs="Times New Roman" w:ascii="Times New Roman" w:hAnsi="Times New Roman"/>
                <w:spacing w:val="1"/>
                <w:sz w:val="24"/>
                <w:szCs w:val="24"/>
              </w:rPr>
              <w:t>Punti 1,5</w:t>
            </w:r>
          </w:p>
        </w:tc>
      </w:tr>
    </w:tbl>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b/>
          <w:b/>
          <w:sz w:val="24"/>
          <w:szCs w:val="24"/>
        </w:rPr>
      </w:pPr>
      <w:r>
        <w:rPr>
          <w:rFonts w:cs="Times New Roman" w:ascii="Times New Roman" w:hAnsi="Times New Roman"/>
          <w:b/>
          <w:sz w:val="24"/>
          <w:szCs w:val="24"/>
        </w:rPr>
        <w:t>B)Esperienze lavorative e titoli di servizio (max 12 punti)</w:t>
      </w:r>
    </w:p>
    <w:p>
      <w:pPr>
        <w:pStyle w:val="Default"/>
        <w:jc w:val="both"/>
        <w:rPr/>
      </w:pPr>
      <w:r>
        <w:rPr/>
        <w:t xml:space="preserve">Saranno valutate le esperienze lavorative maturate nell’ambito dell’attività professionale autonoma e i titoli di servizio espletati nelle funzioni afferenti la posizione professionale messa a selezione, con rapporto di lavoro subordinato a tempo determinato o indeterminato, pieno o parziale, alle dirette dipendenze di pubbliche amministrazioni. </w:t>
      </w:r>
    </w:p>
    <w:p>
      <w:pPr>
        <w:pStyle w:val="Default"/>
        <w:jc w:val="both"/>
        <w:rPr/>
      </w:pPr>
      <w:r>
        <w:rPr>
          <w:b/>
          <w:bCs/>
        </w:rPr>
        <w:t xml:space="preserve">a) I punti i per i titoli di servizio saranno attributi come segue: </w:t>
      </w:r>
    </w:p>
    <w:p>
      <w:pPr>
        <w:pStyle w:val="Default"/>
        <w:ind w:left="465" w:hanging="0"/>
        <w:jc w:val="both"/>
        <w:rPr/>
      </w:pPr>
      <w:r>
        <w:rPr/>
      </w:r>
    </w:p>
    <w:p>
      <w:pPr>
        <w:pStyle w:val="Default"/>
        <w:jc w:val="both"/>
        <w:rPr/>
      </w:pPr>
      <w:r>
        <w:rPr/>
        <w:t xml:space="preserve">a.1 – Servizio prestato nella pubblica amministrazione con inquadramento nella qualifica dirigenziale nelle funzioni e attività della posizione messa a selezione con rapporto di lavoro a tempo indeterminato o determinato: </w:t>
      </w:r>
      <w:r>
        <w:rPr>
          <w:b/>
          <w:bCs/>
        </w:rPr>
        <w:t xml:space="preserve">Punti 0,20 per ogni mese o frazione superiore a 15 giorni; </w:t>
      </w:r>
    </w:p>
    <w:p>
      <w:pPr>
        <w:pStyle w:val="Default"/>
        <w:jc w:val="both"/>
        <w:rPr/>
      </w:pPr>
      <w:r>
        <w:rPr/>
        <w:t xml:space="preserve">a.2 – Servizio prestato nella pubblica amministrazione con inquadramento nella categoria direttiva con funzioni dirigenziali (Incarico di posizione organizzativa) nelle funzioni e attività della posizione messa a selezione con rapporto di lavoro a tempo indeterminato o determinato: </w:t>
      </w:r>
      <w:r>
        <w:rPr>
          <w:b/>
          <w:bCs/>
        </w:rPr>
        <w:t xml:space="preserve">Punti 0,15 per ogni mese o frazione superiore a 15 giorni; </w:t>
      </w:r>
    </w:p>
    <w:p>
      <w:pPr>
        <w:pStyle w:val="Default"/>
        <w:jc w:val="both"/>
        <w:rPr/>
      </w:pPr>
      <w:r>
        <w:rPr/>
        <w:t xml:space="preserve">a.3 – Servizio prestato nella pubblica amministrazione con inquadramento nella categoria direttiva nelle funzioni e attività della posizione messa a selezione con rapporto di lavoro a tempo indeterminato o determinato: </w:t>
      </w:r>
      <w:r>
        <w:rPr>
          <w:b/>
          <w:bCs/>
        </w:rPr>
        <w:t xml:space="preserve">Punti 0,10 per ogni mese o frazione superiore a 15 giorni; </w:t>
      </w:r>
    </w:p>
    <w:p>
      <w:pPr>
        <w:pStyle w:val="Default"/>
        <w:jc w:val="both"/>
        <w:rPr/>
      </w:pPr>
      <w:r>
        <w:rPr/>
        <w:t xml:space="preserve">I servizi con orario ridotto saranno valutati con gli stessi criteri, in proporzione. </w:t>
      </w:r>
    </w:p>
    <w:p>
      <w:pPr>
        <w:pStyle w:val="Default"/>
        <w:jc w:val="both"/>
        <w:rPr/>
      </w:pPr>
      <w:r>
        <w:rPr/>
      </w:r>
    </w:p>
    <w:p>
      <w:pPr>
        <w:pStyle w:val="Default"/>
        <w:jc w:val="both"/>
        <w:rPr/>
      </w:pPr>
      <w:r>
        <w:rPr/>
        <w:t xml:space="preserve">b) </w:t>
      </w:r>
      <w:r>
        <w:rPr>
          <w:b/>
        </w:rPr>
        <w:t>Attività professionale autonoma, di consulenza professionale e di studio</w:t>
      </w:r>
      <w:r>
        <w:rPr/>
        <w:t xml:space="preserve">. </w:t>
      </w:r>
    </w:p>
    <w:p>
      <w:pPr>
        <w:pStyle w:val="Default"/>
        <w:jc w:val="both"/>
        <w:rPr>
          <w:iCs/>
          <w:sz w:val="22"/>
          <w:szCs w:val="22"/>
        </w:rPr>
      </w:pPr>
      <w:r>
        <w:rPr>
          <w:iCs/>
          <w:sz w:val="22"/>
          <w:szCs w:val="22"/>
        </w:rPr>
      </w:r>
    </w:p>
    <w:p>
      <w:pPr>
        <w:pStyle w:val="Default"/>
        <w:jc w:val="both"/>
        <w:rPr/>
      </w:pPr>
      <w:r>
        <w:rPr>
          <w:bCs/>
        </w:rPr>
        <w:t>b.1 –</w:t>
      </w:r>
      <w:r>
        <w:rPr>
          <w:b/>
          <w:bCs/>
        </w:rPr>
        <w:t xml:space="preserve"> Punti </w:t>
      </w:r>
      <w:r>
        <w:rPr>
          <w:rFonts w:eastAsia="Calibri"/>
          <w:b/>
          <w:bCs/>
        </w:rPr>
        <w:t xml:space="preserve">0,60 </w:t>
      </w:r>
      <w:r>
        <w:rPr>
          <w:rFonts w:eastAsia="Calibri"/>
        </w:rPr>
        <w:t xml:space="preserve"> per ogni anno di esperienza professionale, attinente al profilo professionale </w:t>
      </w:r>
      <w:r>
        <w:rPr/>
        <w:t>ricercato</w:t>
      </w:r>
      <w:r>
        <w:rPr>
          <w:rFonts w:eastAsia="Calibri"/>
        </w:rPr>
        <w:t>, comprovabile, in fase di verifica dei titoli, a mezzo di contratti di lavoro flessibile (a tempo determinato, di formazione e lavoro, di somministrazione lavoro, contratto di collaborazione, etc.) o  incarichi professionali stipulati con altre pubbliche amministrazioni o con soggetti privati</w:t>
      </w:r>
      <w:r>
        <w:rPr/>
        <w:t>.</w:t>
      </w:r>
    </w:p>
    <w:p>
      <w:pPr>
        <w:pStyle w:val="Normal"/>
        <w:jc w:val="both"/>
        <w:rPr>
          <w:rFonts w:ascii="Times New Roman" w:hAnsi="Times New Roman" w:eastAsia="Calibri" w:cs="Times New Roman"/>
          <w:sz w:val="24"/>
          <w:szCs w:val="24"/>
        </w:rPr>
      </w:pPr>
      <w:r>
        <w:rPr>
          <w:rFonts w:eastAsia="Calibri" w:cs="Times New Roman" w:ascii="Times New Roman" w:hAnsi="Times New Roman"/>
          <w:sz w:val="24"/>
          <w:szCs w:val="24"/>
        </w:rPr>
        <w:t>Per la valutazione dei titoli professionali si applicano i seguenti principi:</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a)</w:t>
      </w:r>
      <w:r>
        <w:rPr>
          <w:rFonts w:eastAsia="Calibri" w:cs="Times New Roman" w:ascii="Times New Roman" w:hAnsi="Times New Roman"/>
          <w:sz w:val="24"/>
          <w:szCs w:val="24"/>
        </w:rPr>
        <w:t xml:space="preserve">il computo degli anni di esperienza professionale è dato dalla somma di tutti i mesi di lavoro anche non continuativi diviso per 12; </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b)</w:t>
      </w:r>
      <w:r>
        <w:rPr>
          <w:rFonts w:eastAsia="Calibri" w:cs="Times New Roman" w:ascii="Times New Roman" w:hAnsi="Times New Roman"/>
          <w:sz w:val="24"/>
          <w:szCs w:val="24"/>
        </w:rPr>
        <w:t>le frazioni di anno sono valutate in ragione mensile e valgono ove superiori a sei mesi, considerando, come mese intero, periodi continuativi di giorni trenta o frazioni superiori a quindici giorni;</w:t>
      </w:r>
    </w:p>
    <w:p>
      <w:pPr>
        <w:pStyle w:val="Normal"/>
        <w:spacing w:before="0" w:after="0"/>
        <w:jc w:val="both"/>
        <w:rPr>
          <w:rFonts w:ascii="Times New Roman" w:hAnsi="Times New Roman" w:eastAsia="Calibri" w:cs="Times New Roman"/>
          <w:sz w:val="24"/>
          <w:szCs w:val="24"/>
        </w:rPr>
      </w:pPr>
      <w:r>
        <w:rPr>
          <w:rFonts w:eastAsia="Calibri" w:cs="Times New Roman" w:ascii="Times New Roman" w:hAnsi="Times New Roman"/>
          <w:b/>
          <w:bCs/>
          <w:sz w:val="24"/>
          <w:szCs w:val="24"/>
        </w:rPr>
        <w:t>c)</w:t>
      </w:r>
      <w:r>
        <w:rPr>
          <w:rFonts w:eastAsia="Calibri" w:cs="Times New Roman" w:ascii="Times New Roman" w:hAnsi="Times New Roman"/>
          <w:sz w:val="24"/>
          <w:szCs w:val="24"/>
        </w:rPr>
        <w:t>in caso di contemporaneità, i periodi di lavoro in sovrapposizione si contano una sola volta;</w:t>
      </w:r>
    </w:p>
    <w:p>
      <w:pPr>
        <w:pStyle w:val="Standard"/>
        <w:suppressAutoHyphens w:val="false"/>
        <w:jc w:val="both"/>
        <w:rPr>
          <w:rFonts w:eastAsia="Batang, 바탕"/>
          <w:spacing w:val="0"/>
          <w:szCs w:val="24"/>
          <w:lang w:eastAsia="it-IT"/>
        </w:rPr>
      </w:pPr>
      <w:r>
        <w:rPr>
          <w:rFonts w:eastAsia="Calibri"/>
          <w:b/>
          <w:bCs/>
          <w:color w:val="auto"/>
          <w:spacing w:val="0"/>
          <w:szCs w:val="24"/>
          <w:lang w:eastAsia="en-US"/>
        </w:rPr>
        <w:t>d)</w:t>
      </w:r>
      <w:r>
        <w:rPr>
          <w:rFonts w:eastAsia="Calibri"/>
          <w:color w:val="auto"/>
          <w:spacing w:val="0"/>
          <w:szCs w:val="24"/>
          <w:lang w:eastAsia="en-US"/>
        </w:rPr>
        <w:t>qualora non vengano dichiarati gli esatti termini temporali di inizio e fine saranno valutati, in carenza del giorno di inizio o di fine, un solo giorno del mese; in carenza del mese di inizio o di fine, un solo giorno dell’anno.</w:t>
      </w:r>
    </w:p>
    <w:p>
      <w:pPr>
        <w:pStyle w:val="Default"/>
        <w:jc w:val="both"/>
        <w:rPr/>
      </w:pPr>
      <w:r>
        <w:rPr/>
      </w:r>
    </w:p>
    <w:p>
      <w:pPr>
        <w:pStyle w:val="Default"/>
        <w:rPr>
          <w:b/>
          <w:b/>
        </w:rPr>
      </w:pPr>
      <w:r>
        <w:rPr>
          <w:b/>
          <w:bCs/>
        </w:rPr>
        <w:t xml:space="preserve">C. TITOLI VARI (MAX 2 PUNTI) </w:t>
      </w:r>
    </w:p>
    <w:p>
      <w:pPr>
        <w:pStyle w:val="Default"/>
        <w:jc w:val="both"/>
        <w:rPr>
          <w:sz w:val="22"/>
          <w:szCs w:val="22"/>
        </w:rPr>
      </w:pPr>
      <w:r>
        <w:rPr>
          <w:sz w:val="22"/>
          <w:szCs w:val="22"/>
        </w:rPr>
        <w:t xml:space="preserve">Saranno valutati positivamente esclusivamente i titoli attinenti al profilo per il quale si concorre. </w:t>
      </w:r>
    </w:p>
    <w:p>
      <w:pPr>
        <w:pStyle w:val="Default"/>
        <w:jc w:val="both"/>
        <w:rPr>
          <w:b/>
          <w:b/>
          <w:bCs/>
          <w:sz w:val="22"/>
          <w:szCs w:val="22"/>
        </w:rPr>
      </w:pPr>
      <w:r>
        <w:rPr>
          <w:b/>
          <w:bCs/>
          <w:sz w:val="22"/>
          <w:szCs w:val="22"/>
        </w:rPr>
      </w:r>
    </w:p>
    <w:tbl>
      <w:tblPr>
        <w:tblStyle w:val="Grigliatabella"/>
        <w:tblW w:w="9778" w:type="dxa"/>
        <w:jc w:val="left"/>
        <w:tblInd w:w="0" w:type="dxa"/>
        <w:tblLayout w:type="fixed"/>
        <w:tblCellMar>
          <w:top w:w="0" w:type="dxa"/>
          <w:left w:w="108" w:type="dxa"/>
          <w:bottom w:w="0" w:type="dxa"/>
          <w:right w:w="108" w:type="dxa"/>
        </w:tblCellMar>
        <w:tblLook w:val="04a0"/>
      </w:tblPr>
      <w:tblGrid>
        <w:gridCol w:w="4889"/>
        <w:gridCol w:w="4888"/>
      </w:tblGrid>
      <w:tr>
        <w:trPr/>
        <w:tc>
          <w:tcPr>
            <w:tcW w:w="4889" w:type="dxa"/>
            <w:tcBorders/>
          </w:tcPr>
          <w:p>
            <w:pPr>
              <w:pStyle w:val="Default"/>
              <w:widowControl w:val="false"/>
              <w:suppressAutoHyphens w:val="true"/>
              <w:spacing w:before="0" w:after="0"/>
              <w:jc w:val="both"/>
              <w:rPr>
                <w:b/>
                <w:b/>
                <w:bCs/>
                <w:sz w:val="22"/>
                <w:szCs w:val="22"/>
              </w:rPr>
            </w:pPr>
            <w:r>
              <w:rPr>
                <w:rFonts w:eastAsia="Calibri"/>
                <w:b/>
                <w:bCs/>
                <w:kern w:val="0"/>
                <w:sz w:val="22"/>
                <w:szCs w:val="22"/>
                <w:lang w:val="it-IT" w:eastAsia="en-US" w:bidi="ar-SA"/>
              </w:rPr>
              <w:t>TITOLI VARI</w:t>
            </w:r>
          </w:p>
        </w:tc>
        <w:tc>
          <w:tcPr>
            <w:tcW w:w="4888" w:type="dxa"/>
            <w:tcBorders/>
          </w:tcPr>
          <w:p>
            <w:pPr>
              <w:pStyle w:val="Default"/>
              <w:widowControl w:val="false"/>
              <w:suppressAutoHyphens w:val="true"/>
              <w:spacing w:before="0" w:after="0"/>
              <w:jc w:val="both"/>
              <w:rPr>
                <w:b/>
                <w:b/>
                <w:bCs/>
                <w:sz w:val="22"/>
                <w:szCs w:val="22"/>
              </w:rPr>
            </w:pPr>
            <w:r>
              <w:rPr>
                <w:rFonts w:eastAsia="Calibri"/>
                <w:b/>
                <w:bCs/>
                <w:kern w:val="0"/>
                <w:sz w:val="22"/>
                <w:szCs w:val="22"/>
                <w:lang w:val="it-IT" w:eastAsia="en-US" w:bidi="ar-SA"/>
              </w:rPr>
              <w:t>PUNTEGGIO</w:t>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Pubblicazioni scientifiche nelle materie oggetto del posto messo a selezione</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Certificazione Lingua inglese B1</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0,50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Idoneità acquisita nei concorsi pubblici per rapporto di lavoro a tempo indeterminato per qualifica dirigenziale o per categoria rientrante nell’area direttiva per la posizione professionale ricercata</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r>
        <w:trPr/>
        <w:tc>
          <w:tcPr>
            <w:tcW w:w="4889" w:type="dxa"/>
            <w:tcBorders/>
          </w:tcPr>
          <w:p>
            <w:pPr>
              <w:pStyle w:val="Default"/>
              <w:widowControl w:val="false"/>
              <w:suppressAutoHyphens w:val="true"/>
              <w:spacing w:before="0" w:after="0"/>
              <w:jc w:val="both"/>
              <w:rPr>
                <w:rFonts w:eastAsia="Calibri"/>
                <w:kern w:val="0"/>
                <w:lang w:val="it-IT" w:eastAsia="en-US" w:bidi="ar-SA"/>
              </w:rPr>
            </w:pPr>
            <w:r>
              <w:rPr>
                <w:rFonts w:eastAsia="Calibri"/>
                <w:kern w:val="0"/>
                <w:sz w:val="22"/>
                <w:szCs w:val="22"/>
                <w:lang w:val="it-IT" w:eastAsia="en-US" w:bidi="ar-SA"/>
              </w:rPr>
              <w:t>Attestati di docenza in corsi di formazione professionale sulle materie oggetto della selezione</w:t>
            </w:r>
          </w:p>
          <w:p>
            <w:pPr>
              <w:pStyle w:val="Default"/>
              <w:widowControl w:val="false"/>
              <w:suppressAutoHyphens w:val="true"/>
              <w:spacing w:before="0" w:after="0"/>
              <w:jc w:val="both"/>
              <w:rPr>
                <w:b/>
                <w:b/>
                <w:bCs/>
                <w:sz w:val="22"/>
                <w:szCs w:val="22"/>
              </w:rPr>
            </w:pPr>
            <w:r>
              <w:rPr>
                <w:b/>
                <w:bCs/>
                <w:sz w:val="22"/>
                <w:szCs w:val="22"/>
              </w:rPr>
            </w:r>
          </w:p>
        </w:tc>
        <w:tc>
          <w:tcPr>
            <w:tcW w:w="4888" w:type="dxa"/>
            <w:tcBorders/>
          </w:tcPr>
          <w:p>
            <w:pPr>
              <w:pStyle w:val="Default"/>
              <w:widowControl w:val="false"/>
              <w:suppressAutoHyphens w:val="true"/>
              <w:spacing w:before="0" w:after="0"/>
              <w:jc w:val="both"/>
              <w:rPr>
                <w:rFonts w:eastAsia="Calibri"/>
                <w:kern w:val="0"/>
                <w:lang w:val="it-IT" w:eastAsia="en-US" w:bidi="ar-SA"/>
              </w:rPr>
            </w:pPr>
            <w:r>
              <w:rPr>
                <w:rFonts w:eastAsia="Calibri"/>
                <w:i/>
                <w:iCs/>
                <w:kern w:val="0"/>
                <w:sz w:val="22"/>
                <w:szCs w:val="22"/>
                <w:lang w:val="it-IT" w:eastAsia="en-US" w:bidi="ar-SA"/>
              </w:rPr>
              <w:t>Punti 0,10 per ogni titolo</w:t>
            </w:r>
          </w:p>
          <w:p>
            <w:pPr>
              <w:pStyle w:val="Default"/>
              <w:widowControl w:val="false"/>
              <w:suppressAutoHyphens w:val="true"/>
              <w:spacing w:before="0" w:after="0"/>
              <w:jc w:val="both"/>
              <w:rPr>
                <w:b/>
                <w:b/>
                <w:bCs/>
                <w:sz w:val="22"/>
                <w:szCs w:val="22"/>
              </w:rPr>
            </w:pPr>
            <w:r>
              <w:rPr>
                <w:b/>
                <w:bCs/>
                <w:sz w:val="22"/>
                <w:szCs w:val="22"/>
              </w:rPr>
            </w:r>
          </w:p>
        </w:tc>
      </w:tr>
    </w:tbl>
    <w:p>
      <w:pPr>
        <w:pStyle w:val="Default"/>
        <w:jc w:val="both"/>
        <w:rPr>
          <w:b/>
          <w:b/>
          <w:bCs/>
          <w:sz w:val="22"/>
          <w:szCs w:val="22"/>
        </w:rPr>
      </w:pPr>
      <w:r>
        <w:rPr>
          <w:b/>
          <w:bCs/>
          <w:sz w:val="22"/>
          <w:szCs w:val="22"/>
        </w:rPr>
      </w:r>
    </w:p>
    <w:p>
      <w:pPr>
        <w:pStyle w:val="Default"/>
        <w:jc w:val="both"/>
        <w:rPr/>
      </w:pPr>
      <w:r>
        <w:rPr>
          <w:b/>
        </w:rPr>
        <w:t>Fase b)</w:t>
      </w:r>
      <w:r>
        <w:rPr/>
        <w:t xml:space="preserve"> </w:t>
      </w:r>
      <w:r>
        <w:rPr>
          <w:b/>
        </w:rPr>
        <w:t>colloquio individuale:</w:t>
      </w:r>
    </w:p>
    <w:p>
      <w:pPr>
        <w:pStyle w:val="Default"/>
        <w:jc w:val="both"/>
        <w:rPr>
          <w:sz w:val="22"/>
          <w:szCs w:val="22"/>
        </w:rPr>
      </w:pPr>
      <w:r>
        <w:rPr>
          <w:sz w:val="22"/>
          <w:szCs w:val="22"/>
        </w:rPr>
      </w:r>
    </w:p>
    <w:p>
      <w:pPr>
        <w:pStyle w:val="Default"/>
        <w:jc w:val="both"/>
        <w:rPr>
          <w:sz w:val="22"/>
          <w:szCs w:val="22"/>
        </w:rPr>
      </w:pPr>
      <w:r>
        <w:rPr>
          <w:sz w:val="22"/>
          <w:szCs w:val="22"/>
        </w:rPr>
        <w:t>Il colloquio verterà sulle specifiche competenze del profilo professionale ricercato.</w:t>
      </w:r>
    </w:p>
    <w:p>
      <w:pPr>
        <w:pStyle w:val="Default"/>
        <w:spacing w:before="0" w:after="155"/>
        <w:jc w:val="both"/>
        <w:rPr>
          <w:sz w:val="22"/>
          <w:szCs w:val="22"/>
        </w:rPr>
      </w:pPr>
      <w:r>
        <w:rPr>
          <w:sz w:val="22"/>
          <w:szCs w:val="22"/>
        </w:rPr>
        <w:t xml:space="preserve">Nell’ambito del colloquio, la Commissione, tenendo conto della coerenza dei titoli di studio e delle abilitazioni professionali possedute, valuterà, anche sotto il profilo motivazionale, la capacità operativa e l'attitudine a ricoprirla, in particolare considerando la conoscenza della normativa di settore e delle procedure relative all'esecuzione delle mansioni pertinenti al profilo messo a selezione, anche mediante la soluzione di problemi specifici e casi concreti, per la verifica: </w:t>
      </w:r>
    </w:p>
    <w:p>
      <w:pPr>
        <w:pStyle w:val="Default"/>
        <w:numPr>
          <w:ilvl w:val="0"/>
          <w:numId w:val="2"/>
        </w:numPr>
        <w:spacing w:before="0" w:after="155"/>
        <w:rPr>
          <w:sz w:val="22"/>
          <w:szCs w:val="22"/>
        </w:rPr>
      </w:pPr>
      <w:r>
        <w:rPr>
          <w:sz w:val="22"/>
          <w:szCs w:val="22"/>
        </w:rPr>
        <w:t xml:space="preserve">del grado di autonomia nelle soluzioni proposte; </w:t>
      </w:r>
    </w:p>
    <w:p>
      <w:pPr>
        <w:pStyle w:val="Default"/>
        <w:numPr>
          <w:ilvl w:val="0"/>
          <w:numId w:val="2"/>
        </w:numPr>
        <w:spacing w:before="0" w:after="155"/>
        <w:rPr>
          <w:sz w:val="22"/>
          <w:szCs w:val="22"/>
        </w:rPr>
      </w:pPr>
      <w:r>
        <w:rPr>
          <w:sz w:val="22"/>
          <w:szCs w:val="22"/>
        </w:rPr>
        <w:t xml:space="preserve">della capacità di analisi e pianificazione; </w:t>
      </w:r>
    </w:p>
    <w:p>
      <w:pPr>
        <w:pStyle w:val="Default"/>
        <w:numPr>
          <w:ilvl w:val="0"/>
          <w:numId w:val="2"/>
        </w:numPr>
        <w:spacing w:before="0" w:after="155"/>
        <w:rPr>
          <w:sz w:val="22"/>
          <w:szCs w:val="22"/>
        </w:rPr>
      </w:pPr>
      <w:r>
        <w:rPr>
          <w:sz w:val="22"/>
          <w:szCs w:val="22"/>
        </w:rPr>
        <w:t xml:space="preserve">orientamento al risultato e al problem solving; </w:t>
      </w:r>
    </w:p>
    <w:p>
      <w:pPr>
        <w:pStyle w:val="Default"/>
        <w:numPr>
          <w:ilvl w:val="0"/>
          <w:numId w:val="2"/>
        </w:numPr>
        <w:rPr>
          <w:sz w:val="22"/>
          <w:szCs w:val="22"/>
        </w:rPr>
      </w:pPr>
      <w:r>
        <w:rPr>
          <w:sz w:val="22"/>
          <w:szCs w:val="22"/>
        </w:rPr>
        <w:t xml:space="preserve">capacità relazionali e di lavoro in team. </w:t>
      </w:r>
    </w:p>
    <w:p>
      <w:pPr>
        <w:pStyle w:val="Default"/>
        <w:jc w:val="both"/>
        <w:rPr>
          <w:sz w:val="22"/>
          <w:szCs w:val="22"/>
        </w:rPr>
      </w:pPr>
      <w:r>
        <w:rPr/>
        <w:t>È prevista 1'assegnazione di un punteggio massimo di</w:t>
      </w:r>
      <w:r>
        <w:rPr>
          <w:b/>
        </w:rPr>
        <w:t xml:space="preserve"> 30 punti</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Art.6</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Incarico, durata e trattamento economico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1. L’incarico avrà la durata massima di 36 mesi, articolato in 80 giornate in tre anni e comunque per un numero massimo di 26 gg. annue e non oltre il 31 dicembre 2026.</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2. L’incarico può essere sottoposto a valutazione periodica da parte dell'Amministrazione ai fini della conferma della durata, da stabilirsi nel contratto che regola il rapporto di lavoro.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3. In ordine alle eventuali sospensioni della prestazione, qualora sopravvengano eventi comportanti l’impossibilità temporanea della prestazione, l'esperto si impegna a darne comunicazione immediata al fine di permettere all'Amministrazione di attivare eventuali azioni che non pregiudichino le attività previste. La sospensione del rapporto verrà comunque disciplinata nell'ambito del contratto secondo le disposizioni di normative vigenti in materia.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4. Il costo giornata/persona dovuto al professionista è pari ad € 400,00 al netto di IVA e degli oneri previdenziali, corrispondente al massimale riconosciuto al profilo senior previsto dal Regolamento dell’Agenzia per la Coesione Territoriale per il conferimento degli incarichi di lavoro autonomo n. 107 del 8/6/2018, come dettagliato  nella da tabella che segue:</w:t>
      </w:r>
    </w:p>
    <w:tbl>
      <w:tblPr>
        <w:tblW w:w="9630" w:type="dxa"/>
        <w:jc w:val="left"/>
        <w:tblInd w:w="112" w:type="dxa"/>
        <w:tblLayout w:type="fixed"/>
        <w:tblCellMar>
          <w:top w:w="0" w:type="dxa"/>
          <w:left w:w="5" w:type="dxa"/>
          <w:bottom w:w="0" w:type="dxa"/>
          <w:right w:w="5" w:type="dxa"/>
        </w:tblCellMar>
        <w:tblLook w:val="0000"/>
      </w:tblPr>
      <w:tblGrid>
        <w:gridCol w:w="981"/>
        <w:gridCol w:w="2143"/>
        <w:gridCol w:w="1187"/>
        <w:gridCol w:w="1591"/>
        <w:gridCol w:w="1349"/>
        <w:gridCol w:w="1082"/>
        <w:gridCol w:w="1296"/>
      </w:tblGrid>
      <w:tr>
        <w:trPr>
          <w:trHeight w:val="1665" w:hRule="exact"/>
        </w:trPr>
        <w:tc>
          <w:tcPr>
            <w:tcW w:w="981"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6" w:before="0" w:after="0"/>
              <w:ind w:left="140" w:right="-20" w:hanging="0"/>
              <w:rPr>
                <w:rFonts w:ascii="Times New Roman" w:hAnsi="Times New Roman" w:cs="Times New Roman"/>
                <w:sz w:val="24"/>
                <w:szCs w:val="24"/>
              </w:rPr>
            </w:pPr>
            <w:r>
              <w:rPr>
                <w:rFonts w:cs="Times New Roman" w:ascii="Times New Roman" w:hAnsi="Times New Roman"/>
                <w:b/>
                <w:bCs/>
                <w:spacing w:val="1"/>
                <w:sz w:val="24"/>
                <w:szCs w:val="24"/>
              </w:rPr>
              <w:t>p</w:t>
            </w:r>
            <w:r>
              <w:rPr>
                <w:rFonts w:cs="Times New Roman" w:ascii="Times New Roman" w:hAnsi="Times New Roman"/>
                <w:b/>
                <w:bCs/>
                <w:spacing w:val="-1"/>
                <w:sz w:val="24"/>
                <w:szCs w:val="24"/>
              </w:rPr>
              <w:t>r</w:t>
            </w:r>
            <w:r>
              <w:rPr>
                <w:rFonts w:cs="Times New Roman" w:ascii="Times New Roman" w:hAnsi="Times New Roman"/>
                <w:b/>
                <w:bCs/>
                <w:sz w:val="24"/>
                <w:szCs w:val="24"/>
              </w:rPr>
              <w:t>o</w:t>
            </w:r>
            <w:r>
              <w:rPr>
                <w:rFonts w:cs="Times New Roman" w:ascii="Times New Roman" w:hAnsi="Times New Roman"/>
                <w:b/>
                <w:bCs/>
                <w:spacing w:val="1"/>
                <w:sz w:val="24"/>
                <w:szCs w:val="24"/>
              </w:rPr>
              <w:t>f</w:t>
            </w:r>
            <w:r>
              <w:rPr>
                <w:rFonts w:cs="Times New Roman" w:ascii="Times New Roman" w:hAnsi="Times New Roman"/>
                <w:b/>
                <w:bCs/>
                <w:sz w:val="24"/>
                <w:szCs w:val="24"/>
              </w:rPr>
              <w:t>i</w:t>
            </w:r>
            <w:r>
              <w:rPr>
                <w:rFonts w:cs="Times New Roman" w:ascii="Times New Roman" w:hAnsi="Times New Roman"/>
                <w:b/>
                <w:bCs/>
                <w:spacing w:val="1"/>
                <w:sz w:val="24"/>
                <w:szCs w:val="24"/>
              </w:rPr>
              <w:t>l</w:t>
            </w:r>
            <w:r>
              <w:rPr>
                <w:rFonts w:cs="Times New Roman" w:ascii="Times New Roman" w:hAnsi="Times New Roman"/>
                <w:b/>
                <w:bCs/>
                <w:sz w:val="24"/>
                <w:szCs w:val="24"/>
              </w:rPr>
              <w:t>o</w:t>
            </w:r>
          </w:p>
        </w:tc>
        <w:tc>
          <w:tcPr>
            <w:tcW w:w="2143"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4" w:before="4" w:after="0"/>
              <w:ind w:left="781" w:right="458" w:hanging="259"/>
              <w:rPr>
                <w:rFonts w:ascii="Times New Roman" w:hAnsi="Times New Roman" w:cs="Times New Roman"/>
                <w:sz w:val="24"/>
                <w:szCs w:val="24"/>
              </w:rPr>
            </w:pPr>
            <w:r>
              <w:rPr>
                <w:rFonts w:cs="Times New Roman" w:ascii="Times New Roman" w:hAnsi="Times New Roman"/>
                <w:b/>
                <w:bCs/>
                <w:spacing w:val="-1"/>
                <w:sz w:val="24"/>
                <w:szCs w:val="24"/>
              </w:rPr>
              <w:t>M</w:t>
            </w:r>
            <w:r>
              <w:rPr>
                <w:rFonts w:cs="Times New Roman" w:ascii="Times New Roman" w:hAnsi="Times New Roman"/>
                <w:b/>
                <w:bCs/>
                <w:sz w:val="24"/>
                <w:szCs w:val="24"/>
              </w:rPr>
              <w:t>assi</w:t>
            </w:r>
            <w:r>
              <w:rPr>
                <w:rFonts w:cs="Times New Roman" w:ascii="Times New Roman" w:hAnsi="Times New Roman"/>
                <w:b/>
                <w:bCs/>
                <w:spacing w:val="-2"/>
                <w:sz w:val="24"/>
                <w:szCs w:val="24"/>
              </w:rPr>
              <w:t>m</w:t>
            </w:r>
            <w:r>
              <w:rPr>
                <w:rFonts w:cs="Times New Roman" w:ascii="Times New Roman" w:hAnsi="Times New Roman"/>
                <w:b/>
                <w:bCs/>
                <w:sz w:val="24"/>
                <w:szCs w:val="24"/>
              </w:rPr>
              <w:t>a</w:t>
            </w:r>
            <w:r>
              <w:rPr>
                <w:rFonts w:cs="Times New Roman" w:ascii="Times New Roman" w:hAnsi="Times New Roman"/>
                <w:b/>
                <w:bCs/>
                <w:spacing w:val="3"/>
                <w:sz w:val="24"/>
                <w:szCs w:val="24"/>
              </w:rPr>
              <w:t>l</w:t>
            </w:r>
            <w:r>
              <w:rPr>
                <w:rFonts w:cs="Times New Roman" w:ascii="Times New Roman" w:hAnsi="Times New Roman"/>
                <w:b/>
                <w:bCs/>
                <w:sz w:val="24"/>
                <w:szCs w:val="24"/>
              </w:rPr>
              <w:t>e gg/</w:t>
            </w:r>
            <w:r>
              <w:rPr>
                <w:rFonts w:cs="Times New Roman" w:ascii="Times New Roman" w:hAnsi="Times New Roman"/>
                <w:b/>
                <w:bCs/>
                <w:spacing w:val="1"/>
                <w:sz w:val="24"/>
                <w:szCs w:val="24"/>
              </w:rPr>
              <w:t>p</w:t>
            </w:r>
            <w:r>
              <w:rPr>
                <w:rFonts w:cs="Times New Roman" w:ascii="Times New Roman" w:hAnsi="Times New Roman"/>
                <w:b/>
                <w:bCs/>
                <w:sz w:val="24"/>
                <w:szCs w:val="24"/>
              </w:rPr>
              <w:t>p</w:t>
            </w:r>
          </w:p>
        </w:tc>
        <w:tc>
          <w:tcPr>
            <w:tcW w:w="1187"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134" w:right="109" w:hanging="3"/>
              <w:jc w:val="center"/>
              <w:rPr>
                <w:rFonts w:ascii="Times New Roman" w:hAnsi="Times New Roman" w:cs="Times New Roman"/>
                <w:sz w:val="24"/>
                <w:szCs w:val="24"/>
              </w:rPr>
            </w:pPr>
            <w:r>
              <w:rPr>
                <w:rFonts w:cs="Times New Roman" w:ascii="Times New Roman" w:hAnsi="Times New Roman"/>
                <w:b/>
                <w:bCs/>
                <w:sz w:val="24"/>
                <w:szCs w:val="24"/>
              </w:rPr>
              <w:t>Cos</w:t>
            </w:r>
            <w:r>
              <w:rPr>
                <w:rFonts w:cs="Times New Roman" w:ascii="Times New Roman" w:hAnsi="Times New Roman"/>
                <w:b/>
                <w:bCs/>
                <w:spacing w:val="-1"/>
                <w:sz w:val="24"/>
                <w:szCs w:val="24"/>
              </w:rPr>
              <w:t>t</w:t>
            </w:r>
            <w:r>
              <w:rPr>
                <w:rFonts w:cs="Times New Roman" w:ascii="Times New Roman" w:hAnsi="Times New Roman"/>
                <w:b/>
                <w:bCs/>
                <w:sz w:val="24"/>
                <w:szCs w:val="24"/>
              </w:rPr>
              <w:t xml:space="preserve">o giornata </w:t>
            </w:r>
            <w:r>
              <w:rPr>
                <w:rFonts w:cs="Times New Roman" w:ascii="Times New Roman" w:hAnsi="Times New Roman"/>
                <w:b/>
                <w:bCs/>
                <w:spacing w:val="1"/>
                <w:sz w:val="24"/>
                <w:szCs w:val="24"/>
              </w:rPr>
              <w:t>n</w:t>
            </w:r>
            <w:r>
              <w:rPr>
                <w:rFonts w:cs="Times New Roman" w:ascii="Times New Roman" w:hAnsi="Times New Roman"/>
                <w:b/>
                <w:bCs/>
                <w:spacing w:val="-1"/>
                <w:sz w:val="24"/>
                <w:szCs w:val="24"/>
              </w:rPr>
              <w:t>e</w:t>
            </w:r>
            <w:r>
              <w:rPr>
                <w:rFonts w:cs="Times New Roman" w:ascii="Times New Roman" w:hAnsi="Times New Roman"/>
                <w:b/>
                <w:bCs/>
                <w:sz w:val="24"/>
                <w:szCs w:val="24"/>
              </w:rPr>
              <w:t>t</w:t>
            </w:r>
            <w:r>
              <w:rPr>
                <w:rFonts w:cs="Times New Roman" w:ascii="Times New Roman" w:hAnsi="Times New Roman"/>
                <w:b/>
                <w:bCs/>
                <w:spacing w:val="-1"/>
                <w:sz w:val="24"/>
                <w:szCs w:val="24"/>
              </w:rPr>
              <w:t>t</w:t>
            </w:r>
            <w:r>
              <w:rPr>
                <w:rFonts w:cs="Times New Roman" w:ascii="Times New Roman" w:hAnsi="Times New Roman"/>
                <w:b/>
                <w:bCs/>
                <w:sz w:val="24"/>
                <w:szCs w:val="24"/>
              </w:rPr>
              <w:t>o</w:t>
            </w:r>
          </w:p>
        </w:tc>
        <w:tc>
          <w:tcPr>
            <w:tcW w:w="1591"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4" w:before="4" w:after="0"/>
              <w:ind w:left="105" w:right="41" w:firstLine="386"/>
              <w:rPr>
                <w:rFonts w:ascii="Times New Roman" w:hAnsi="Times New Roman" w:cs="Times New Roman"/>
                <w:sz w:val="24"/>
                <w:szCs w:val="24"/>
              </w:rPr>
            </w:pPr>
            <w:r>
              <w:rPr>
                <w:rFonts w:cs="Times New Roman" w:ascii="Times New Roman" w:hAnsi="Times New Roman"/>
                <w:b/>
                <w:bCs/>
                <w:sz w:val="24"/>
                <w:szCs w:val="24"/>
              </w:rPr>
              <w:t xml:space="preserve">Cassa </w:t>
            </w:r>
            <w:r>
              <w:rPr>
                <w:rFonts w:cs="Times New Roman" w:ascii="Times New Roman" w:hAnsi="Times New Roman"/>
                <w:b/>
                <w:bCs/>
                <w:spacing w:val="1"/>
                <w:sz w:val="24"/>
                <w:szCs w:val="24"/>
              </w:rPr>
              <w:t>p</w:t>
            </w:r>
            <w:r>
              <w:rPr>
                <w:rFonts w:cs="Times New Roman" w:ascii="Times New Roman" w:hAnsi="Times New Roman"/>
                <w:b/>
                <w:bCs/>
                <w:spacing w:val="-1"/>
                <w:sz w:val="24"/>
                <w:szCs w:val="24"/>
              </w:rPr>
              <w:t>re</w:t>
            </w:r>
            <w:r>
              <w:rPr>
                <w:rFonts w:cs="Times New Roman" w:ascii="Times New Roman" w:hAnsi="Times New Roman"/>
                <w:b/>
                <w:bCs/>
                <w:sz w:val="24"/>
                <w:szCs w:val="24"/>
              </w:rPr>
              <w:t>vi</w:t>
            </w:r>
            <w:r>
              <w:rPr>
                <w:rFonts w:cs="Times New Roman" w:ascii="Times New Roman" w:hAnsi="Times New Roman"/>
                <w:b/>
                <w:bCs/>
                <w:spacing w:val="1"/>
                <w:sz w:val="24"/>
                <w:szCs w:val="24"/>
              </w:rPr>
              <w:t>d</w:t>
            </w:r>
            <w:r>
              <w:rPr>
                <w:rFonts w:cs="Times New Roman" w:ascii="Times New Roman" w:hAnsi="Times New Roman"/>
                <w:b/>
                <w:bCs/>
                <w:spacing w:val="-1"/>
                <w:sz w:val="24"/>
                <w:szCs w:val="24"/>
              </w:rPr>
              <w:t>e</w:t>
            </w:r>
            <w:r>
              <w:rPr>
                <w:rFonts w:cs="Times New Roman" w:ascii="Times New Roman" w:hAnsi="Times New Roman"/>
                <w:b/>
                <w:bCs/>
                <w:spacing w:val="1"/>
                <w:sz w:val="24"/>
                <w:szCs w:val="24"/>
              </w:rPr>
              <w:t>n</w:t>
            </w:r>
            <w:r>
              <w:rPr>
                <w:rFonts w:cs="Times New Roman" w:ascii="Times New Roman" w:hAnsi="Times New Roman"/>
                <w:b/>
                <w:bCs/>
                <w:spacing w:val="-1"/>
                <w:sz w:val="24"/>
                <w:szCs w:val="24"/>
              </w:rPr>
              <w:t>z</w:t>
            </w:r>
            <w:r>
              <w:rPr>
                <w:rFonts w:cs="Times New Roman" w:ascii="Times New Roman" w:hAnsi="Times New Roman"/>
                <w:b/>
                <w:bCs/>
                <w:sz w:val="24"/>
                <w:szCs w:val="24"/>
              </w:rPr>
              <w:t>ia</w:t>
            </w:r>
            <w:r>
              <w:rPr>
                <w:rFonts w:cs="Times New Roman" w:ascii="Times New Roman" w:hAnsi="Times New Roman"/>
                <w:b/>
                <w:bCs/>
                <w:spacing w:val="1"/>
                <w:sz w:val="24"/>
                <w:szCs w:val="24"/>
              </w:rPr>
              <w:t>l</w:t>
            </w:r>
            <w:r>
              <w:rPr>
                <w:rFonts w:cs="Times New Roman" w:ascii="Times New Roman" w:hAnsi="Times New Roman"/>
                <w:b/>
                <w:bCs/>
                <w:sz w:val="24"/>
                <w:szCs w:val="24"/>
              </w:rPr>
              <w:t>e</w:t>
            </w:r>
          </w:p>
        </w:tc>
        <w:tc>
          <w:tcPr>
            <w:tcW w:w="1349"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exact" w:line="276" w:before="0" w:after="0"/>
              <w:ind w:left="410" w:right="391" w:hanging="0"/>
              <w:jc w:val="center"/>
              <w:rPr>
                <w:rFonts w:ascii="Times New Roman" w:hAnsi="Times New Roman" w:cs="Times New Roman"/>
                <w:sz w:val="24"/>
                <w:szCs w:val="24"/>
              </w:rPr>
            </w:pPr>
            <w:r>
              <w:rPr>
                <w:rFonts w:cs="Times New Roman" w:ascii="Times New Roman" w:hAnsi="Times New Roman"/>
                <w:b/>
                <w:bCs/>
                <w:sz w:val="24"/>
                <w:szCs w:val="24"/>
              </w:rPr>
              <w:t>IVA</w:t>
            </w:r>
          </w:p>
          <w:p>
            <w:pPr>
              <w:pStyle w:val="Normal"/>
              <w:widowControl w:val="false"/>
              <w:spacing w:lineRule="exact" w:line="269" w:before="0" w:after="0"/>
              <w:ind w:left="93" w:right="77" w:hanging="0"/>
              <w:jc w:val="center"/>
              <w:rPr>
                <w:rFonts w:ascii="Times New Roman" w:hAnsi="Times New Roman" w:cs="Times New Roman"/>
                <w:sz w:val="24"/>
                <w:szCs w:val="24"/>
              </w:rPr>
            </w:pPr>
            <w:r>
              <w:rPr>
                <w:rFonts w:cs="Times New Roman" w:ascii="Times New Roman" w:hAnsi="Times New Roman"/>
                <w:b/>
                <w:bCs/>
                <w:spacing w:val="-1"/>
                <w:sz w:val="24"/>
                <w:szCs w:val="24"/>
              </w:rPr>
              <w:t>(</w:t>
            </w:r>
            <w:r>
              <w:rPr>
                <w:rFonts w:cs="Times New Roman" w:ascii="Times New Roman" w:hAnsi="Times New Roman"/>
                <w:i/>
                <w:iCs/>
                <w:sz w:val="24"/>
                <w:szCs w:val="24"/>
              </w:rPr>
              <w:t>se do</w:t>
            </w:r>
            <w:r>
              <w:rPr>
                <w:rFonts w:cs="Times New Roman" w:ascii="Times New Roman" w:hAnsi="Times New Roman"/>
                <w:i/>
                <w:iCs/>
                <w:spacing w:val="-1"/>
                <w:sz w:val="24"/>
                <w:szCs w:val="24"/>
              </w:rPr>
              <w:t>v</w:t>
            </w:r>
            <w:r>
              <w:rPr>
                <w:rFonts w:cs="Times New Roman" w:ascii="Times New Roman" w:hAnsi="Times New Roman"/>
                <w:i/>
                <w:iCs/>
                <w:sz w:val="24"/>
                <w:szCs w:val="24"/>
              </w:rPr>
              <w:t>uta</w:t>
            </w:r>
            <w:r>
              <w:rPr>
                <w:rFonts w:cs="Times New Roman" w:ascii="Times New Roman" w:hAnsi="Times New Roman"/>
                <w:b/>
                <w:bCs/>
                <w:i/>
                <w:iCs/>
                <w:sz w:val="24"/>
                <w:szCs w:val="24"/>
              </w:rPr>
              <w:t>)</w:t>
            </w:r>
          </w:p>
        </w:tc>
        <w:tc>
          <w:tcPr>
            <w:tcW w:w="1082"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82" w:right="62" w:hanging="2"/>
              <w:jc w:val="center"/>
              <w:rPr>
                <w:rFonts w:ascii="Times New Roman" w:hAnsi="Times New Roman" w:cs="Times New Roman"/>
                <w:sz w:val="24"/>
                <w:szCs w:val="24"/>
              </w:rPr>
            </w:pPr>
            <w:r>
              <w:rPr>
                <w:rFonts w:cs="Times New Roman" w:ascii="Times New Roman" w:hAnsi="Times New Roman"/>
                <w:b/>
                <w:bCs/>
                <w:spacing w:val="-1"/>
                <w:sz w:val="24"/>
                <w:szCs w:val="24"/>
              </w:rPr>
              <w:t>c</w:t>
            </w:r>
            <w:r>
              <w:rPr>
                <w:rFonts w:cs="Times New Roman" w:ascii="Times New Roman" w:hAnsi="Times New Roman"/>
                <w:b/>
                <w:bCs/>
                <w:sz w:val="24"/>
                <w:szCs w:val="24"/>
              </w:rPr>
              <w:t>osto to</w:t>
            </w:r>
            <w:r>
              <w:rPr>
                <w:rFonts w:cs="Times New Roman" w:ascii="Times New Roman" w:hAnsi="Times New Roman"/>
                <w:b/>
                <w:bCs/>
                <w:spacing w:val="-1"/>
                <w:sz w:val="24"/>
                <w:szCs w:val="24"/>
              </w:rPr>
              <w:t>t</w:t>
            </w:r>
            <w:r>
              <w:rPr>
                <w:rFonts w:cs="Times New Roman" w:ascii="Times New Roman" w:hAnsi="Times New Roman"/>
                <w:b/>
                <w:bCs/>
                <w:sz w:val="24"/>
                <w:szCs w:val="24"/>
              </w:rPr>
              <w:t>ale lordo si</w:t>
            </w:r>
            <w:r>
              <w:rPr>
                <w:rFonts w:cs="Times New Roman" w:ascii="Times New Roman" w:hAnsi="Times New Roman"/>
                <w:b/>
                <w:bCs/>
                <w:spacing w:val="1"/>
                <w:sz w:val="24"/>
                <w:szCs w:val="24"/>
              </w:rPr>
              <w:t>n</w:t>
            </w:r>
            <w:r>
              <w:rPr>
                <w:rFonts w:cs="Times New Roman" w:ascii="Times New Roman" w:hAnsi="Times New Roman"/>
                <w:b/>
                <w:bCs/>
                <w:sz w:val="24"/>
                <w:szCs w:val="24"/>
              </w:rPr>
              <w:t>gola giornata</w:t>
            </w:r>
          </w:p>
        </w:tc>
        <w:tc>
          <w:tcPr>
            <w:tcW w:w="1296" w:type="dxa"/>
            <w:tcBorders>
              <w:top w:val="single" w:sz="4" w:space="0" w:color="000000"/>
              <w:left w:val="single" w:sz="4" w:space="0" w:color="000000"/>
              <w:bottom w:val="single" w:sz="4" w:space="0" w:color="000000"/>
              <w:right w:val="single" w:sz="4" w:space="0" w:color="000000"/>
            </w:tcBorders>
            <w:shd w:color="auto" w:fill="E7E6E6" w:val="clear"/>
          </w:tcPr>
          <w:p>
            <w:pPr>
              <w:pStyle w:val="Normal"/>
              <w:widowControl w:val="false"/>
              <w:spacing w:lineRule="auto" w:line="235" w:before="0" w:after="0"/>
              <w:ind w:left="181" w:right="122" w:firstLine="94"/>
              <w:rPr>
                <w:rFonts w:ascii="Times New Roman" w:hAnsi="Times New Roman" w:cs="Times New Roman"/>
                <w:sz w:val="24"/>
                <w:szCs w:val="24"/>
              </w:rPr>
            </w:pPr>
            <w:r>
              <w:rPr>
                <w:rFonts w:cs="Times New Roman" w:ascii="Times New Roman" w:hAnsi="Times New Roman"/>
                <w:b/>
                <w:bCs/>
                <w:sz w:val="24"/>
                <w:szCs w:val="24"/>
              </w:rPr>
              <w:t>B</w:t>
            </w:r>
            <w:r>
              <w:rPr>
                <w:rFonts w:cs="Times New Roman" w:ascii="Times New Roman" w:hAnsi="Times New Roman"/>
                <w:b/>
                <w:bCs/>
                <w:spacing w:val="1"/>
                <w:sz w:val="24"/>
                <w:szCs w:val="24"/>
              </w:rPr>
              <w:t>ud</w:t>
            </w:r>
            <w:r>
              <w:rPr>
                <w:rFonts w:cs="Times New Roman" w:ascii="Times New Roman" w:hAnsi="Times New Roman"/>
                <w:b/>
                <w:bCs/>
                <w:sz w:val="24"/>
                <w:szCs w:val="24"/>
              </w:rPr>
              <w:t>g</w:t>
            </w:r>
            <w:r>
              <w:rPr>
                <w:rFonts w:cs="Times New Roman" w:ascii="Times New Roman" w:hAnsi="Times New Roman"/>
                <w:b/>
                <w:bCs/>
                <w:spacing w:val="-1"/>
                <w:sz w:val="24"/>
                <w:szCs w:val="24"/>
              </w:rPr>
              <w:t>e</w:t>
            </w:r>
            <w:r>
              <w:rPr>
                <w:rFonts w:cs="Times New Roman" w:ascii="Times New Roman" w:hAnsi="Times New Roman"/>
                <w:b/>
                <w:bCs/>
                <w:sz w:val="24"/>
                <w:szCs w:val="24"/>
              </w:rPr>
              <w:t xml:space="preserve">t </w:t>
            </w:r>
            <w:r>
              <w:rPr>
                <w:rFonts w:cs="Times New Roman" w:ascii="Times New Roman" w:hAnsi="Times New Roman"/>
                <w:b/>
                <w:bCs/>
                <w:spacing w:val="-3"/>
                <w:sz w:val="24"/>
                <w:szCs w:val="24"/>
              </w:rPr>
              <w:t>m</w:t>
            </w:r>
            <w:r>
              <w:rPr>
                <w:rFonts w:cs="Times New Roman" w:ascii="Times New Roman" w:hAnsi="Times New Roman"/>
                <w:b/>
                <w:bCs/>
                <w:sz w:val="24"/>
                <w:szCs w:val="24"/>
              </w:rPr>
              <w:t>ass</w:t>
            </w:r>
            <w:r>
              <w:rPr>
                <w:rFonts w:cs="Times New Roman" w:ascii="Times New Roman" w:hAnsi="Times New Roman"/>
                <w:b/>
                <w:bCs/>
                <w:spacing w:val="3"/>
                <w:sz w:val="24"/>
                <w:szCs w:val="24"/>
              </w:rPr>
              <w:t>i</w:t>
            </w:r>
            <w:r>
              <w:rPr>
                <w:rFonts w:cs="Times New Roman" w:ascii="Times New Roman" w:hAnsi="Times New Roman"/>
                <w:b/>
                <w:bCs/>
                <w:spacing w:val="-3"/>
                <w:sz w:val="24"/>
                <w:szCs w:val="24"/>
              </w:rPr>
              <w:t>m</w:t>
            </w:r>
            <w:r>
              <w:rPr>
                <w:rFonts w:cs="Times New Roman" w:ascii="Times New Roman" w:hAnsi="Times New Roman"/>
                <w:b/>
                <w:bCs/>
                <w:sz w:val="24"/>
                <w:szCs w:val="24"/>
              </w:rPr>
              <w:t>o t</w:t>
            </w:r>
            <w:r>
              <w:rPr>
                <w:rFonts w:cs="Times New Roman" w:ascii="Times New Roman" w:hAnsi="Times New Roman"/>
                <w:b/>
                <w:bCs/>
                <w:spacing w:val="-2"/>
                <w:sz w:val="24"/>
                <w:szCs w:val="24"/>
              </w:rPr>
              <w:t>r</w:t>
            </w:r>
            <w:r>
              <w:rPr>
                <w:rFonts w:cs="Times New Roman" w:ascii="Times New Roman" w:hAnsi="Times New Roman"/>
                <w:b/>
                <w:bCs/>
                <w:sz w:val="24"/>
                <w:szCs w:val="24"/>
              </w:rPr>
              <w:t>ien</w:t>
            </w:r>
            <w:r>
              <w:rPr>
                <w:rFonts w:cs="Times New Roman" w:ascii="Times New Roman" w:hAnsi="Times New Roman"/>
                <w:b/>
                <w:bCs/>
                <w:spacing w:val="1"/>
                <w:sz w:val="24"/>
                <w:szCs w:val="24"/>
              </w:rPr>
              <w:t>n</w:t>
            </w:r>
            <w:r>
              <w:rPr>
                <w:rFonts w:cs="Times New Roman" w:ascii="Times New Roman" w:hAnsi="Times New Roman"/>
                <w:b/>
                <w:bCs/>
                <w:sz w:val="24"/>
                <w:szCs w:val="24"/>
              </w:rPr>
              <w:t>ale</w:t>
            </w:r>
          </w:p>
        </w:tc>
      </w:tr>
      <w:tr>
        <w:trPr>
          <w:trHeight w:val="288" w:hRule="exact"/>
        </w:trPr>
        <w:tc>
          <w:tcPr>
            <w:tcW w:w="98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93" w:right="-20" w:hanging="0"/>
              <w:rPr>
                <w:rFonts w:ascii="Times New Roman" w:hAnsi="Times New Roman" w:cs="Times New Roman"/>
                <w:sz w:val="24"/>
                <w:szCs w:val="24"/>
              </w:rPr>
            </w:pPr>
            <w:r>
              <w:rPr>
                <w:rFonts w:cs="Times New Roman" w:ascii="Times New Roman" w:hAnsi="Times New Roman"/>
                <w:sz w:val="24"/>
                <w:szCs w:val="24"/>
              </w:rPr>
              <w:t>s</w:t>
            </w:r>
            <w:r>
              <w:rPr>
                <w:rFonts w:cs="Times New Roman" w:ascii="Times New Roman" w:hAnsi="Times New Roman"/>
                <w:spacing w:val="-1"/>
                <w:sz w:val="24"/>
                <w:szCs w:val="24"/>
              </w:rPr>
              <w:t>e</w:t>
            </w:r>
            <w:r>
              <w:rPr>
                <w:rFonts w:cs="Times New Roman" w:ascii="Times New Roman" w:hAnsi="Times New Roman"/>
                <w:sz w:val="24"/>
                <w:szCs w:val="24"/>
              </w:rPr>
              <w:t>nior</w:t>
            </w:r>
          </w:p>
        </w:tc>
        <w:tc>
          <w:tcPr>
            <w:tcW w:w="214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851" w:right="827" w:hanging="0"/>
              <w:jc w:val="center"/>
              <w:rPr>
                <w:rFonts w:ascii="Times New Roman" w:hAnsi="Times New Roman" w:cs="Times New Roman"/>
                <w:sz w:val="24"/>
                <w:szCs w:val="24"/>
              </w:rPr>
            </w:pPr>
            <w:r>
              <w:rPr>
                <w:rFonts w:cs="Times New Roman" w:ascii="Times New Roman" w:hAnsi="Times New Roman"/>
                <w:sz w:val="24"/>
                <w:szCs w:val="24"/>
              </w:rPr>
              <w:t>80</w:t>
            </w:r>
          </w:p>
        </w:tc>
        <w:tc>
          <w:tcPr>
            <w:tcW w:w="118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258" w:right="-20" w:hanging="0"/>
              <w:rPr>
                <w:rFonts w:ascii="Times New Roman" w:hAnsi="Times New Roman" w:cs="Times New Roman"/>
                <w:sz w:val="24"/>
                <w:szCs w:val="24"/>
              </w:rPr>
            </w:pPr>
            <w:r>
              <w:rPr>
                <w:rFonts w:cs="Times New Roman" w:ascii="Times New Roman" w:hAnsi="Times New Roman"/>
                <w:sz w:val="24"/>
                <w:szCs w:val="24"/>
              </w:rPr>
              <w:t>400,00</w:t>
            </w:r>
          </w:p>
        </w:tc>
        <w:tc>
          <w:tcPr>
            <w:tcW w:w="159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520" w:right="-20" w:hanging="0"/>
              <w:rPr>
                <w:rFonts w:ascii="Times New Roman" w:hAnsi="Times New Roman" w:cs="Times New Roman"/>
                <w:sz w:val="24"/>
                <w:szCs w:val="24"/>
              </w:rPr>
            </w:pPr>
            <w:r>
              <w:rPr>
                <w:rFonts w:cs="Times New Roman" w:ascii="Times New Roman" w:hAnsi="Times New Roman"/>
                <w:sz w:val="24"/>
                <w:szCs w:val="24"/>
              </w:rPr>
              <w:t>16,00</w:t>
            </w:r>
          </w:p>
        </w:tc>
        <w:tc>
          <w:tcPr>
            <w:tcW w:w="134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397" w:right="-20" w:hanging="0"/>
              <w:rPr>
                <w:rFonts w:ascii="Times New Roman" w:hAnsi="Times New Roman" w:cs="Times New Roman"/>
                <w:sz w:val="24"/>
                <w:szCs w:val="24"/>
              </w:rPr>
            </w:pPr>
            <w:r>
              <w:rPr>
                <w:rFonts w:cs="Times New Roman" w:ascii="Times New Roman" w:hAnsi="Times New Roman"/>
                <w:sz w:val="24"/>
                <w:szCs w:val="24"/>
              </w:rPr>
              <w:t>88,00</w:t>
            </w:r>
          </w:p>
        </w:tc>
        <w:tc>
          <w:tcPr>
            <w:tcW w:w="108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205" w:right="-20" w:hanging="0"/>
              <w:rPr>
                <w:rFonts w:ascii="Times New Roman" w:hAnsi="Times New Roman" w:cs="Times New Roman"/>
                <w:sz w:val="24"/>
                <w:szCs w:val="24"/>
              </w:rPr>
            </w:pPr>
            <w:r>
              <w:rPr>
                <w:rFonts w:cs="Times New Roman" w:ascii="Times New Roman" w:hAnsi="Times New Roman"/>
                <w:sz w:val="24"/>
                <w:szCs w:val="24"/>
              </w:rPr>
              <w:t>504,00</w:t>
            </w:r>
          </w:p>
        </w:tc>
        <w:tc>
          <w:tcPr>
            <w:tcW w:w="129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exact" w:line="272" w:before="0" w:after="0"/>
              <w:ind w:left="102" w:right="-20" w:hanging="0"/>
              <w:rPr>
                <w:rFonts w:ascii="Times New Roman" w:hAnsi="Times New Roman" w:cs="Times New Roman"/>
                <w:sz w:val="24"/>
                <w:szCs w:val="24"/>
              </w:rPr>
            </w:pPr>
            <w:r>
              <w:rPr>
                <w:rFonts w:cs="Times New Roman" w:ascii="Times New Roman" w:hAnsi="Times New Roman"/>
                <w:sz w:val="24"/>
                <w:szCs w:val="24"/>
              </w:rPr>
              <w:t>40.320,00</w:t>
            </w:r>
          </w:p>
        </w:tc>
      </w:tr>
    </w:tbl>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5. L’intero costo derivante dalla sottoscrizione del relativo contratto di lavoro farà carico sulle risorse del programma di Azione e Coesione Complementare al PON Governance e capacità Istituzionale 2014-2020 – CUP E99J21007460005.</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Il contratto verrà stipulato sulla base dello schema di contratto predisposto dall'Agenzia per la Coesione Territoriale, che definisce le modalità, anche temporali, della collaborazione e la soglia massima della remunerazione, nei limiti di quanto stabilito dal Regolamento per il conferimento degli incarichi di lavoro autonomo, di cui al decreto del direttore della predetta Agenzia, n. 107, in data 8 giugno 2018.</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Art. 7</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Trattamento dei dati personali</w:t>
      </w:r>
    </w:p>
    <w:p>
      <w:pPr>
        <w:pStyle w:val="Standard"/>
        <w:suppressAutoHyphens w:val="false"/>
        <w:spacing w:lineRule="auto" w:line="276"/>
        <w:jc w:val="both"/>
        <w:rPr>
          <w:rFonts w:eastAsia="Batang, 바탕"/>
          <w:spacing w:val="0"/>
          <w:szCs w:val="24"/>
          <w:lang w:eastAsia="it-IT"/>
        </w:rPr>
      </w:pPr>
      <w:r>
        <w:rPr>
          <w:szCs w:val="24"/>
        </w:rPr>
        <w:t>1.</w:t>
      </w:r>
      <w:r>
        <w:rPr>
          <w:rFonts w:eastAsia="Batang, 바탕"/>
          <w:spacing w:val="0"/>
          <w:szCs w:val="24"/>
          <w:lang w:eastAsia="it-IT"/>
        </w:rPr>
        <w:t>Il Titolare del trattamento è il Comune di Messina. I dati raccolti con la domanda di partecipazione alla procedura di selezione sono trattati esclusivamente per le finalità connesse all’espletamento della stessa e per le successive attività nel rispetto delle prescrizioni di cui al   Regolamento UE 2016/679 (GDPR) – (Regolamento Europeo relativo al trattamento dei dati personali)  e della normativa nazionale (D.Lgs. 196/2003 modificato dal D.Lgs. n. 101/2018).</w:t>
      </w:r>
    </w:p>
    <w:p>
      <w:pPr>
        <w:pStyle w:val="Standard"/>
        <w:suppressAutoHyphens w:val="false"/>
        <w:spacing w:lineRule="auto" w:line="276"/>
        <w:jc w:val="both"/>
        <w:rPr>
          <w:rFonts w:eastAsia="Batang, 바탕"/>
          <w:spacing w:val="0"/>
          <w:szCs w:val="24"/>
          <w:lang w:eastAsia="it-IT"/>
        </w:rPr>
      </w:pPr>
      <w:r>
        <w:rPr>
          <w:rFonts w:eastAsia="Batang, 바탕"/>
          <w:spacing w:val="0"/>
          <w:szCs w:val="24"/>
          <w:lang w:eastAsia="it-IT"/>
        </w:rPr>
        <w:t>I dati forniti dai candidati per la partecipazione alla selezione saranno trattati e conservati nel rispetto degli obblighi previsti dalla normativa vigente  per il tempo necessario connesso alla gestione della procedura selettiva e della graduatoria, in archivi informatici, cartacei per i necessari adempimenti in ordine alla procedura selettiva e anche per adempiere a specifici obblighi imposti da legge, regolamenti e dalla normativa comunitaria.</w:t>
      </w:r>
    </w:p>
    <w:p>
      <w:pPr>
        <w:pStyle w:val="Normal"/>
        <w:spacing w:before="0" w:after="0"/>
        <w:jc w:val="both"/>
        <w:rPr>
          <w:rFonts w:ascii="Times New Roman" w:hAnsi="Times New Roman" w:eastAsia="Batang, 바탕" w:cs="Times New Roman"/>
          <w:sz w:val="24"/>
          <w:szCs w:val="24"/>
        </w:rPr>
      </w:pPr>
      <w:r>
        <w:rPr>
          <w:rFonts w:eastAsia="Batang, 바탕" w:cs="Times New Roman" w:ascii="Times New Roman" w:hAnsi="Times New Roman"/>
          <w:sz w:val="24"/>
          <w:szCs w:val="24"/>
        </w:rPr>
        <w:t xml:space="preserve">L’interessato potrà esercitare, alle condizioni e nei limiti di cui al Regolamento UE n.679/2016 i diritti previsti negli artt. 15 e seguenti del medesimo: l’accesso ai propri dati personali, la rettifica o la cancellazione dei dati, la limitazione del trattamento, la portabilità dei dati, l’opposizione al trattamento.  </w:t>
      </w:r>
    </w:p>
    <w:p>
      <w:pPr>
        <w:pStyle w:val="Normal"/>
        <w:spacing w:before="0" w:after="0"/>
        <w:jc w:val="both"/>
        <w:rPr>
          <w:rFonts w:ascii="Times New Roman" w:hAnsi="Times New Roman" w:eastAsia="Batang, 바탕" w:cs="Times New Roman"/>
          <w:sz w:val="24"/>
          <w:szCs w:val="24"/>
        </w:rPr>
      </w:pPr>
      <w:r>
        <w:rPr>
          <w:rFonts w:eastAsia="Batang, 바탕" w:cs="Times New Roman" w:ascii="Times New Roman" w:hAnsi="Times New Roman"/>
          <w:sz w:val="24"/>
          <w:szCs w:val="24"/>
        </w:rPr>
        <w:t>L’interessato potrà inoltre esercitare il diritto di proporre reclamo all’Autorità Garante per la protezione dei dati personali.</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 xml:space="preserve">Art. 8 </w:t>
      </w:r>
    </w:p>
    <w:p>
      <w:pPr>
        <w:pStyle w:val="Normal"/>
        <w:spacing w:before="0" w:after="0"/>
        <w:jc w:val="center"/>
        <w:rPr>
          <w:rFonts w:ascii="Times New Roman" w:hAnsi="Times New Roman" w:cs="Times New Roman"/>
          <w:b/>
          <w:b/>
          <w:sz w:val="24"/>
          <w:szCs w:val="24"/>
        </w:rPr>
      </w:pPr>
      <w:r>
        <w:rPr>
          <w:rFonts w:cs="Times New Roman" w:ascii="Times New Roman" w:hAnsi="Times New Roman"/>
          <w:b/>
          <w:sz w:val="24"/>
          <w:szCs w:val="24"/>
        </w:rPr>
        <w:t>Informazione e pubblicità</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1.   Il   presente   Avviso   è   pubblicato   all’Albo   pretorio on line    e   sul   sito   web   del   Comune </w:t>
      </w:r>
      <w:hyperlink r:id="rId8">
        <w:r>
          <w:rPr>
            <w:rStyle w:val="CollegamentoInternet"/>
            <w:rFonts w:cs="Times New Roman" w:ascii="Times New Roman" w:hAnsi="Times New Roman"/>
            <w:sz w:val="24"/>
            <w:szCs w:val="24"/>
          </w:rPr>
          <w:t>www.comune.messina.it</w:t>
        </w:r>
      </w:hyperlink>
      <w:r>
        <w:rPr>
          <w:rFonts w:cs="Times New Roman" w:ascii="Times New Roman" w:hAnsi="Times New Roman"/>
          <w:sz w:val="24"/>
          <w:szCs w:val="24"/>
        </w:rPr>
        <w:t xml:space="preserve"> – nella sezione avvisi, nella sezione Amministrazione Trasparente/bandi di concorso. Eventuali richieste di chiarimento possono essere formulate dagli interessati, alla casella di Posta Elettronica </w:t>
      </w:r>
      <w:hyperlink r:id="rId9">
        <w:r>
          <w:rPr>
            <w:rStyle w:val="CollegamentoInternet"/>
            <w:rFonts w:cs="Times New Roman" w:ascii="Times New Roman" w:hAnsi="Times New Roman"/>
            <w:sz w:val="24"/>
            <w:szCs w:val="24"/>
          </w:rPr>
          <w:t>protocollo@pec.comune.messina.it</w:t>
        </w:r>
      </w:hyperlink>
      <w:r>
        <w:rPr>
          <w:rFonts w:cs="Times New Roman" w:ascii="Times New Roman" w:hAnsi="Times New Roman"/>
          <w:sz w:val="24"/>
          <w:szCs w:val="24"/>
        </w:rPr>
        <w:t xml:space="preserve"> specificando nell’oggetto “</w:t>
      </w:r>
      <w:r>
        <w:rPr>
          <w:rFonts w:cs="Times New Roman" w:ascii="Times New Roman" w:hAnsi="Times New Roman"/>
          <w:b/>
          <w:i/>
          <w:sz w:val="24"/>
          <w:szCs w:val="24"/>
        </w:rPr>
        <w:t>Esperto di alta specializzazione geologo – Profilo SENIOR – PNRR richiesta informazioni e chiarimenti</w:t>
      </w:r>
      <w:r>
        <w:rPr>
          <w:rFonts w:cs="Times New Roman" w:ascii="Times New Roman" w:hAnsi="Times New Roman"/>
          <w:sz w:val="24"/>
          <w:szCs w:val="24"/>
        </w:rPr>
        <w:t>” .</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Di ogni ulteriore informazione e comunicazione relative all’Avviso, sarà data diffusione sul sito internet del Comune.</w:t>
      </w:r>
    </w:p>
    <w:p>
      <w:pPr>
        <w:pStyle w:val="Normal"/>
        <w:spacing w:before="0" w:after="0"/>
        <w:jc w:val="both"/>
        <w:rPr>
          <w:rFonts w:ascii="Times New Roman" w:hAnsi="Times New Roman" w:cs="Times New Roman"/>
        </w:rPr>
      </w:pPr>
      <w:r>
        <w:rPr>
          <w:rFonts w:cs="Times New Roman" w:ascii="Times New Roman" w:hAnsi="Times New Roman"/>
          <w:sz w:val="24"/>
          <w:szCs w:val="24"/>
        </w:rPr>
        <w:t>2. Responsabile del Procedimento è la dott.ssa Patrizia Russo, Responsabile del Servizio Gestione Giuridica del Personale, contattabile all’indirizzo pec del comune e/o all’indirizzo</w:t>
      </w:r>
      <w:r>
        <w:rPr>
          <w:rFonts w:cs="Times New Roman" w:ascii="Times New Roman" w:hAnsi="Times New Roman"/>
        </w:rPr>
        <w:t xml:space="preserve"> mail istituzionale: </w:t>
      </w:r>
      <w:hyperlink r:id="rId10">
        <w:r>
          <w:rPr>
            <w:rStyle w:val="CollegamentoInternet"/>
            <w:rFonts w:cs="Times New Roman" w:ascii="Times New Roman" w:hAnsi="Times New Roman"/>
          </w:rPr>
          <w:t>p.russo@comune.messina.it</w:t>
        </w:r>
      </w:hyperlink>
      <w:r>
        <w:rPr>
          <w:rFonts w:cs="Times New Roman" w:ascii="Times New Roman" w:hAnsi="Times New Roman"/>
        </w:rPr>
        <w:t>. – Tel. 0907722195.</w:t>
      </w:r>
    </w:p>
    <w:p>
      <w:pPr>
        <w:pStyle w:val="Normal"/>
        <w:spacing w:before="0" w:after="0"/>
        <w:jc w:val="both"/>
        <w:rPr>
          <w:rFonts w:ascii="Times New Roman" w:hAnsi="Times New Roman" w:cs="Times New Roman"/>
        </w:rPr>
      </w:pPr>
      <w:r>
        <w:rPr>
          <w:rFonts w:cs="Times New Roman" w:ascii="Times New Roman" w:hAnsi="Times New Roman"/>
        </w:rPr>
      </w:r>
    </w:p>
    <w:p>
      <w:pPr>
        <w:pStyle w:val="Normal"/>
        <w:spacing w:before="0" w:after="0"/>
        <w:jc w:val="both"/>
        <w:rPr/>
      </w:pPr>
      <w:r>
        <w:rPr/>
      </w:r>
    </w:p>
    <w:p>
      <w:pPr>
        <w:pStyle w:val="Normal"/>
        <w:spacing w:before="0" w:after="0"/>
        <w:jc w:val="both"/>
        <w:rPr>
          <w:rFonts w:ascii="Times New Roman" w:hAnsi="Times New Roman" w:cs="Times New Roman"/>
        </w:rPr>
      </w:pPr>
      <w:r>
        <w:rPr>
          <w:rFonts w:cs="Times New Roman" w:ascii="Times New Roman" w:hAnsi="Times New Roman"/>
        </w:rPr>
        <w:t>Messina,</w:t>
      </w:r>
    </w:p>
    <w:p>
      <w:pPr>
        <w:pStyle w:val="Normal"/>
        <w:spacing w:before="0" w:after="0"/>
        <w:jc w:val="both"/>
        <w:rPr>
          <w:rFonts w:ascii="Times New Roman" w:hAnsi="Times New Roman" w:eastAsia="" w:cs="Times New Roman" w:eastAsiaTheme="minorEastAsia"/>
          <w:color w:val="000000"/>
          <w:sz w:val="24"/>
          <w:szCs w:val="24"/>
          <w:lang w:eastAsia="it-IT"/>
        </w:rPr>
      </w:pPr>
      <w:r>
        <w:rPr>
          <w:rFonts w:eastAsia="" w:cs="Times New Roman" w:eastAsiaTheme="minorEastAsia" w:ascii="Times New Roman" w:hAnsi="Times New Roman"/>
          <w:color w:val="000000"/>
          <w:sz w:val="24"/>
          <w:szCs w:val="24"/>
          <w:lang w:eastAsia="it-IT"/>
        </w:rPr>
      </w:r>
    </w:p>
    <w:p>
      <w:pPr>
        <w:pStyle w:val="NoSpacing"/>
        <w:rPr>
          <w:rFonts w:ascii="Times New Roman" w:hAnsi="Times New Roman" w:cs="Times New Roman"/>
          <w:lang w:eastAsia="it-IT"/>
        </w:rPr>
      </w:pPr>
      <w:r>
        <w:rPr>
          <w:rFonts w:cs="Times New Roman" w:ascii="Times New Roman" w:hAnsi="Times New Roman"/>
          <w:lang w:eastAsia="it-IT"/>
        </w:rPr>
        <w:t xml:space="preserve">                                                                                                                 </w:t>
      </w:r>
      <w:r>
        <w:rPr>
          <w:rFonts w:cs="Times New Roman" w:ascii="Times New Roman" w:hAnsi="Times New Roman"/>
          <w:lang w:eastAsia="it-IT"/>
        </w:rPr>
        <w:t xml:space="preserve">IL DIRETTORE GENERALE                                                   </w:t>
      </w:r>
    </w:p>
    <w:p>
      <w:pPr>
        <w:pStyle w:val="NoSpacing"/>
        <w:rPr>
          <w:rFonts w:ascii="Times New Roman" w:hAnsi="Times New Roman" w:cs="Times New Roman"/>
          <w:lang w:eastAsia="it-IT"/>
        </w:rPr>
      </w:pPr>
      <w:r>
        <w:rPr>
          <w:rFonts w:cs="Times New Roman" w:ascii="Times New Roman" w:hAnsi="Times New Roman"/>
          <w:lang w:eastAsia="it-IT"/>
        </w:rPr>
        <w:tab/>
        <w:tab/>
        <w:tab/>
        <w:tab/>
        <w:tab/>
        <w:tab/>
        <w:t xml:space="preserve">  </w:t>
        <w:tab/>
        <w:tab/>
        <w:tab/>
        <w:t xml:space="preserve">     Dott. Salvo Puccio</w:t>
      </w:r>
    </w:p>
    <w:p>
      <w:pPr>
        <w:pStyle w:val="NoSpacing"/>
        <w:rPr>
          <w:lang w:eastAsia="it-IT"/>
        </w:rPr>
      </w:pPr>
      <w:r>
        <w:rPr/>
      </w:r>
    </w:p>
    <w:sectPr>
      <w:type w:val="nextPage"/>
      <w:pgSz w:w="11906" w:h="16838"/>
      <w:pgMar w:left="1134" w:right="1134" w:header="0" w:top="709"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Letter"/>
      <w:lvlText w:val="%1)"/>
      <w:lvlJc w:val="left"/>
      <w:pPr>
        <w:tabs>
          <w:tab w:val="num" w:pos="0"/>
        </w:tabs>
        <w:ind w:left="465" w:hanging="360"/>
      </w:pPr>
      <w:rPr>
        <w:b/>
      </w:rPr>
    </w:lvl>
    <w:lvl w:ilvl="1">
      <w:start w:val="1"/>
      <w:numFmt w:val="lowerLetter"/>
      <w:lvlText w:val="%2."/>
      <w:lvlJc w:val="left"/>
      <w:pPr>
        <w:tabs>
          <w:tab w:val="num" w:pos="0"/>
        </w:tabs>
        <w:ind w:left="1185" w:hanging="360"/>
      </w:pPr>
    </w:lvl>
    <w:lvl w:ilvl="2">
      <w:start w:val="1"/>
      <w:numFmt w:val="lowerRoman"/>
      <w:lvlText w:val="%3."/>
      <w:lvlJc w:val="right"/>
      <w:pPr>
        <w:tabs>
          <w:tab w:val="num" w:pos="0"/>
        </w:tabs>
        <w:ind w:left="1905" w:hanging="180"/>
      </w:pPr>
    </w:lvl>
    <w:lvl w:ilvl="3">
      <w:start w:val="1"/>
      <w:numFmt w:val="decimal"/>
      <w:lvlText w:val="%4."/>
      <w:lvlJc w:val="left"/>
      <w:pPr>
        <w:tabs>
          <w:tab w:val="num" w:pos="0"/>
        </w:tabs>
        <w:ind w:left="2625" w:hanging="360"/>
      </w:pPr>
    </w:lvl>
    <w:lvl w:ilvl="4">
      <w:start w:val="1"/>
      <w:numFmt w:val="lowerLetter"/>
      <w:lvlText w:val="%5."/>
      <w:lvlJc w:val="left"/>
      <w:pPr>
        <w:tabs>
          <w:tab w:val="num" w:pos="0"/>
        </w:tabs>
        <w:ind w:left="3345" w:hanging="360"/>
      </w:pPr>
    </w:lvl>
    <w:lvl w:ilvl="5">
      <w:start w:val="1"/>
      <w:numFmt w:val="lowerRoman"/>
      <w:lvlText w:val="%6."/>
      <w:lvlJc w:val="right"/>
      <w:pPr>
        <w:tabs>
          <w:tab w:val="num" w:pos="0"/>
        </w:tabs>
        <w:ind w:left="4065" w:hanging="180"/>
      </w:pPr>
    </w:lvl>
    <w:lvl w:ilvl="6">
      <w:start w:val="1"/>
      <w:numFmt w:val="decimal"/>
      <w:lvlText w:val="%7."/>
      <w:lvlJc w:val="left"/>
      <w:pPr>
        <w:tabs>
          <w:tab w:val="num" w:pos="0"/>
        </w:tabs>
        <w:ind w:left="4785" w:hanging="360"/>
      </w:pPr>
    </w:lvl>
    <w:lvl w:ilvl="7">
      <w:start w:val="1"/>
      <w:numFmt w:val="lowerLetter"/>
      <w:lvlText w:val="%8."/>
      <w:lvlJc w:val="left"/>
      <w:pPr>
        <w:tabs>
          <w:tab w:val="num" w:pos="0"/>
        </w:tabs>
        <w:ind w:left="5505" w:hanging="360"/>
      </w:pPr>
    </w:lvl>
    <w:lvl w:ilvl="8">
      <w:start w:val="1"/>
      <w:numFmt w:val="lowerRoman"/>
      <w:lvlText w:val="%9."/>
      <w:lvlJc w:val="right"/>
      <w:pPr>
        <w:tabs>
          <w:tab w:val="num" w:pos="0"/>
        </w:tabs>
        <w:ind w:left="6225" w:hanging="180"/>
      </w:p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32"/>
  <w:defaultTabStop w:val="708"/>
  <w:autoHyphenation w:val="true"/>
  <w:compat>
    <w:compatSetting w:name="compatibilityMode" w:uri="http://schemas.microsoft.com/office/word" w:val="12"/>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0"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7092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f62ee1"/>
    <w:rPr>
      <w:color w:val="0000FF" w:themeColor="hyperlink"/>
      <w:u w:val="single"/>
    </w:rPr>
  </w:style>
  <w:style w:type="character" w:styleId="CorpotestoCarattere" w:customStyle="1">
    <w:name w:val="Corpo testo Carattere"/>
    <w:uiPriority w:val="99"/>
    <w:semiHidden/>
    <w:qFormat/>
    <w:rsid w:val="00f51ec0"/>
    <w:rPr>
      <w:rFonts w:ascii="Times New Roman" w:hAnsi="Times New Roman" w:cs="Times New Roman"/>
    </w:rPr>
  </w:style>
  <w:style w:type="character" w:styleId="CorpodeltestoCarattere" w:customStyle="1">
    <w:name w:val="Corpo del testo Carattere"/>
    <w:basedOn w:val="DefaultParagraphFont"/>
    <w:link w:val="Corpodeltesto"/>
    <w:uiPriority w:val="99"/>
    <w:semiHidden/>
    <w:qFormat/>
    <w:rsid w:val="00f51ec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link w:val="CorpodeltestoCarattere"/>
    <w:uiPriority w:val="99"/>
    <w:semiHidden/>
    <w:unhideWhenUsed/>
    <w:rsid w:val="00f51ec0"/>
    <w:pPr>
      <w:spacing w:before="0" w:after="12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ListParagraph">
    <w:name w:val="List Paragraph"/>
    <w:basedOn w:val="Normal"/>
    <w:qFormat/>
    <w:rsid w:val="00056ee4"/>
    <w:pPr>
      <w:spacing w:before="0" w:after="200"/>
      <w:ind w:left="720" w:hanging="0"/>
      <w:contextualSpacing/>
    </w:pPr>
    <w:rPr/>
  </w:style>
  <w:style w:type="paragraph" w:styleId="Standard" w:customStyle="1">
    <w:name w:val="Standard"/>
    <w:uiPriority w:val="99"/>
    <w:qFormat/>
    <w:rsid w:val="00a41137"/>
    <w:pPr>
      <w:widowControl/>
      <w:suppressAutoHyphens w:val="true"/>
      <w:bidi w:val="0"/>
      <w:spacing w:lineRule="auto" w:line="240" w:before="0" w:after="0"/>
      <w:jc w:val="left"/>
    </w:pPr>
    <w:rPr>
      <w:rFonts w:ascii="Times New Roman" w:hAnsi="Times New Roman" w:eastAsia="Times New Roman" w:cs="Times New Roman"/>
      <w:color w:val="000000"/>
      <w:spacing w:val="22"/>
      <w:kern w:val="0"/>
      <w:sz w:val="24"/>
      <w:szCs w:val="20"/>
      <w:lang w:val="it-IT" w:eastAsia="zh-CN" w:bidi="ar-SA"/>
    </w:rPr>
  </w:style>
  <w:style w:type="paragraph" w:styleId="NoSpacing">
    <w:name w:val="No Spacing"/>
    <w:uiPriority w:val="1"/>
    <w:qFormat/>
    <w:rsid w:val="00e85f6a"/>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paragraph" w:styleId="NormalWeb">
    <w:name w:val="Normal (Web)"/>
    <w:basedOn w:val="Normal"/>
    <w:uiPriority w:val="99"/>
    <w:unhideWhenUsed/>
    <w:qFormat/>
    <w:rsid w:val="004552fd"/>
    <w:pPr>
      <w:spacing w:lineRule="auto" w:line="240" w:beforeAutospacing="1" w:afterAutospacing="1"/>
    </w:pPr>
    <w:rPr>
      <w:rFonts w:ascii="Times New Roman" w:hAnsi="Times New Roman" w:eastAsia="Times New Roman" w:cs="Times New Roman"/>
      <w:sz w:val="24"/>
      <w:szCs w:val="24"/>
      <w:lang w:eastAsia="it-IT"/>
    </w:rPr>
  </w:style>
  <w:style w:type="paragraph" w:styleId="Default" w:customStyle="1">
    <w:name w:val="Default"/>
    <w:qFormat/>
    <w:rsid w:val="008d70bd"/>
    <w:pPr>
      <w:widowControl/>
      <w:suppressAutoHyphens w:val="true"/>
      <w:bidi w:val="0"/>
      <w:spacing w:lineRule="auto" w:line="240" w:before="0" w:after="0"/>
      <w:jc w:val="left"/>
    </w:pPr>
    <w:rPr>
      <w:rFonts w:ascii="Times New Roman" w:hAnsi="Times New Roman" w:eastAsia="Calibri" w:cs="Times New Roman"/>
      <w:color w:val="000000"/>
      <w:kern w:val="0"/>
      <w:sz w:val="24"/>
      <w:szCs w:val="24"/>
      <w:lang w:val="it-IT" w:eastAsia="en-US" w:bidi="ar-SA"/>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CellMar>
        <w:top w:w="0" w:type="dxa"/>
        <w:left w:w="108" w:type="dxa"/>
        <w:bottom w:w="0" w:type="dxa"/>
        <w:right w:w="108" w:type="dxa"/>
      </w:tblCellMar>
    </w:tblPr>
  </w:style>
  <w:style w:type="table" w:styleId="Grigliatabella">
    <w:name w:val="Table Grid"/>
    <w:basedOn w:val="Tabellanormale"/>
    <w:uiPriority w:val="59"/>
    <w:rsid w:val="008d70bd"/>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oleObject" Target="embeddings/oleObject1.bin"/><Relationship Id="rId3" Type="http://schemas.openxmlformats.org/officeDocument/2006/relationships/image" Target="media/image1.png"/><Relationship Id="rId4" Type="http://schemas.openxmlformats.org/officeDocument/2006/relationships/hyperlink" Target="http://www.comune.messina.it/" TargetMode="External"/><Relationship Id="rId5" Type="http://schemas.openxmlformats.org/officeDocument/2006/relationships/hyperlink" Target="mailto:protocollo@pec.comune.messina.it" TargetMode="External"/><Relationship Id="rId6" Type="http://schemas.openxmlformats.org/officeDocument/2006/relationships/hyperlink" Target="mailto:protocollo@pec.comune.messina.it" TargetMode="External"/><Relationship Id="rId7" Type="http://schemas.openxmlformats.org/officeDocument/2006/relationships/hyperlink" Target="http://www.comune.messina.it/" TargetMode="External"/><Relationship Id="rId8" Type="http://schemas.openxmlformats.org/officeDocument/2006/relationships/hyperlink" Target="http://www.comune.messina.it/" TargetMode="External"/><Relationship Id="rId9" Type="http://schemas.openxmlformats.org/officeDocument/2006/relationships/hyperlink" Target="mailto:protocollo@pec.comune.messina.it" TargetMode="External"/><Relationship Id="rId10" Type="http://schemas.openxmlformats.org/officeDocument/2006/relationships/hyperlink" Target="mailto:p.russo@comune.messina.it"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Application>LibreOffice/7.1.2.2$Windows_X86_64 LibreOffice_project/8a45595d069ef5570103caea1b71cc9d82b2aae4</Application>
  <AppVersion>15.0000</AppVersion>
  <Pages>10</Pages>
  <Words>4635</Words>
  <Characters>27325</Characters>
  <CharactersWithSpaces>32104</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2022-09-06T08:08:00Z</dcterms:created>
  <dc:creator>Antonella Saccà</dc:creator>
  <dc:description/>
  <dc:language>it-IT</dc:language>
  <cp:lastModifiedBy/>
  <cp:lastPrinted>2022-11-09T14:06:00Z</cp:lastPrinted>
  <dcterms:modified xsi:type="dcterms:W3CDTF">2023-02-15T12:08:06Z</dcterms:modified>
  <cp:revision>54</cp:revision>
  <dc:subject/>
  <dc:title/>
</cp:coreProperties>
</file>

<file path=docProps/custom.xml><?xml version="1.0" encoding="utf-8"?>
<Properties xmlns="http://schemas.openxmlformats.org/officeDocument/2006/custom-properties" xmlns:vt="http://schemas.openxmlformats.org/officeDocument/2006/docPropsVTypes"/>
</file>