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embeddings/oleObject1.bin" ContentType="application/vnd.openxmlformats-officedocument.oleObject"/>
  <Override PartName="/word/theme/theme1.xml" ContentType="application/vnd.openxmlformats-officedocument.theme+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pPr>
      <w:r>
        <w:rPr/>
        <w:object>
          <v:shapetype id="shapetype_ole_rId2" coordsize="21600,21600" o:spt="ole_rId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 type="shapetype_ole_rId2" style="width:44.2pt;height:56.5pt;mso-wrap-distance-right:0pt" filled="f" o:ole="">
            <v:imagedata r:id="rId3" o:title=""/>
          </v:shape>
          <o:OLEObject Type="Embed" ProgID="Word.Picture.8" ShapeID="ole_rId2" DrawAspect="Content" ObjectID="_2090496870" r:id="rId2"/>
        </w:object>
      </w:r>
    </w:p>
    <w:p>
      <w:pPr>
        <w:pStyle w:val="Normal"/>
        <w:spacing w:lineRule="auto" w:line="240" w:before="0" w:after="0"/>
        <w:jc w:val="center"/>
        <w:rPr>
          <w:rFonts w:ascii="Times New Roman" w:hAnsi="Times New Roman" w:cs="Times New Roman"/>
          <w:b/>
          <w:b/>
          <w:sz w:val="40"/>
          <w:szCs w:val="40"/>
        </w:rPr>
      </w:pPr>
      <w:r>
        <w:rPr>
          <w:rFonts w:cs="Times New Roman" w:ascii="Times New Roman" w:hAnsi="Times New Roman"/>
          <w:b/>
          <w:sz w:val="40"/>
          <w:szCs w:val="40"/>
        </w:rPr>
        <w:t>Città di Messina</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t>AVVISO PUBBLICO</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 xml:space="preserve">SELEZIONE DI N. 1 ESPERTO </w:t>
      </w:r>
      <w:r>
        <w:rPr>
          <w:rFonts w:eastAsia="" w:cs="Times New Roman" w:ascii="Times New Roman" w:hAnsi="Times New Roman" w:eastAsiaTheme="minorEastAsia"/>
          <w:b/>
          <w:bCs/>
          <w:color w:val="auto"/>
          <w:kern w:val="0"/>
          <w:sz w:val="24"/>
          <w:szCs w:val="24"/>
          <w:lang w:val="it-IT" w:eastAsia="it-IT" w:bidi="ar-SA"/>
        </w:rPr>
        <w:t>CONSULENTE IN CONTRATTUALISTICA PUBBLICA E PROCEDURE AD EVIDENZA PUBBLICA A SUPPORTO DEGLI UFFICI FINALIZZATI ALL’ATTUAZIONE DEI PROGETTI FINANZIATI</w:t>
      </w:r>
      <w:r>
        <w:rPr>
          <w:rFonts w:cs="Times New Roman" w:ascii="Times New Roman" w:hAnsi="Times New Roman"/>
          <w:b/>
          <w:bCs/>
          <w:sz w:val="24"/>
          <w:szCs w:val="24"/>
        </w:rPr>
        <w:t xml:space="preserve"> NELL’AMBITO </w:t>
      </w:r>
      <w:r>
        <w:rPr>
          <w:rFonts w:eastAsia="" w:cs="Times New Roman" w:ascii="Times New Roman" w:hAnsi="Times New Roman" w:eastAsiaTheme="minorEastAsia"/>
          <w:b/>
          <w:bCs/>
          <w:color w:val="auto"/>
          <w:kern w:val="0"/>
          <w:sz w:val="24"/>
          <w:szCs w:val="24"/>
          <w:lang w:val="it-IT" w:eastAsia="it-IT" w:bidi="ar-SA"/>
        </w:rPr>
        <w:t>D</w:t>
      </w:r>
      <w:r>
        <w:rPr>
          <w:rFonts w:cs="Times New Roman" w:ascii="Times New Roman" w:hAnsi="Times New Roman"/>
          <w:b/>
          <w:bCs/>
          <w:sz w:val="24"/>
          <w:szCs w:val="24"/>
        </w:rPr>
        <w:t>EL PNRR - PROFILO SENIOR</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 legislativo 30 marzo 2001, n. 165 recante “Norme generali sull'ordinamento del lavoro alle dipendenze delle amministrazioni pubbliche” e ss.mm. e ii.;</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decreto-legge 31 maggio 2021 n. 77, recante “Governance del Piano Nazionale di Rilancio e Resilienza e prime misure di rafforzamento delle strutture amministrative e di accelerazione e snellimento delle procedure”, convertito, con modificazioni, dalla legge n. 108 del 29 luglio 2021; in particolare, l’articolo 8, del suddetto decreto-legge n. 77/2021 ai sensi del quale ciascuna amministrazione é titolare di interventi previsti nel PNRR, provvede al coordinamento delle relative attività di gestione, nonché al loro monitoraggio, rendicontazione e controllo;</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decreto-legge 9 giugno 2021, n. 80 recante “Misure per il rafforzamento della capacità amministrativa delle pubbliche amministrazioni funzionale all'attuazione del Piano Nazionale di Ripresa e Resilienza (PNRR) e per l'efficienza della giustizia”, convertito, con modificazioni, dalla legge n. 113 del 6 agosto 2021, ed in particolare l’art.7, comma 4 per cui le amministrazioni titolari possono avvalersi di un contingente di esperti di comprovata qualificazione professionale nelle materie oggetto degli interventi e che detti incarichi di cui al medesimo comma 4 sono conferiti ai sensi dell’art. 7, co. 6, del Decreto legislativo 30 marzo 2001, n. 165 e con le modalità di cui all’art.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per la durata massima di 36 mesi;</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VISTA</w:t>
      </w:r>
      <w:r>
        <w:rPr>
          <w:rFonts w:cs="Times New Roman" w:ascii="Times New Roman" w:hAnsi="Times New Roman"/>
          <w:sz w:val="24"/>
          <w:szCs w:val="24"/>
        </w:rPr>
        <w:t xml:space="preserve"> la Legge n. 233 del 29 dicembre 2021 che ha previsto uno stanziamento di 67 milioni di euro per il reclutamento di professionisti e personale in possesso di alta specializzazione da destinare agli Enti Locali per l’attuazione del PNRR e della politica di coesione. </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l’articolo 11 comma 2 del Decreto Legge 30 aprile 2022, n.36 convertito con modificazioni con legge. n. 79 del 29 giugno 2022 recante “Ulteriori misure urgenti per l’attuazione del Piano Nazionale di Ripresa e Resilienza(PNRR)”;</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DATO ATTO: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che con comunicazione acquisita al protocollo generale al n. 190223 in data 27/07/2022 l’ Agenzia per la Coesione Territoriale comunicava  che il Comune Città di Messina è destinatario delle risorse per la stipula di contratto di collaborazione ex art. 7, commi 6 e 6 bis del D.lgs. 165/2001 con N. 1 esperto di alta specializzazione per l’espletamento di funzioni tecniche nell’ambito degli interventi del PNRR, con profilo senior;</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che nello specifico l’unità che l’Ente ha scelto di selezionare direttamente, secondo quanto previsto dal Regolamento dell’Agenzia per la Coesione territoriale per il conferimento degli incarichi di lavoro autonomo n. 107 del 8/06/2018, corrisponde al  profilo di  senior  con impiego per un massimale di 250 giornate in tre anni e per un budget di spesa complessiva per il triennio pari ad € 126.000,00, corrispondente ad un costo/giornata di € 504,00 al lordo di IVA e degli oneri previdenziali (euro 400,00 importo netto);</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RITENUTO</w:t>
      </w:r>
      <w:r>
        <w:rPr>
          <w:rFonts w:cs="Times New Roman" w:ascii="Times New Roman" w:hAnsi="Times New Roman"/>
          <w:sz w:val="24"/>
          <w:szCs w:val="24"/>
        </w:rPr>
        <w:t xml:space="preserve"> necessario attivare il supporto di che trattasi per l’avvio e l’attuazione degli interventi del PNRR di cui l’Ente è beneficiario, specificatamente alle funzioni tecniche;</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DATO ATTO: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che con avviso di interpello interno del 31/10/2022  si informava il personale dipendente interessato di segnalare la   propria eventuale candidatura per l’affidamento dell’incarico di che trattasi;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-che l’interpello ha dato esito negativo, atteso che nei termini indicati nel sopracitato avviso nessuna candidatura è pervenuta, appurando pertanto l’indisponibilità e l’impossibilità di utilizzare le risorse di personale interno per l’ambito di competenza ed esperienza ricercato.</w:t>
      </w:r>
    </w:p>
    <w:p>
      <w:pPr>
        <w:pStyle w:val="Normal"/>
        <w:spacing w:before="240" w:after="0"/>
        <w:jc w:val="center"/>
        <w:rPr>
          <w:rFonts w:ascii="Times New Roman" w:hAnsi="Times New Roman" w:cs="Times New Roman"/>
          <w:b/>
          <w:b/>
          <w:sz w:val="24"/>
          <w:szCs w:val="24"/>
        </w:rPr>
      </w:pPr>
      <w:r>
        <w:rPr>
          <w:rFonts w:cs="Times New Roman" w:ascii="Times New Roman" w:hAnsi="Times New Roman"/>
          <w:b/>
          <w:sz w:val="24"/>
          <w:szCs w:val="24"/>
        </w:rPr>
        <w:t>RENDE NOTO</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1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Oggetto dell’incarico e requisiti professionali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Il presente Avviso ha ad oggetto la selezione di n. 1 esperto consulente in contrattualistica pubblica e procedure ad evidenza pubblica a supporto degli uffici finalizzati all’attuazione dei progetti finanziati nell’ambito del PNRR  – profilo SENIOR – con  specifica e comprovata esperienza di almeno 7 anni nel settore, per il conferimento di un incarico di lavoro di natura autonoma a mezzo di valutazione comparativa, ai sensi dell’art. 7, comma 6, del Decreto legislativo 30 marzo 2001, n. 165 e s.m.i., per l’attuazione degli interventi ricadenti nel PNRR a titolarità del Comune della Città di Messina.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profilo ricercato è quello di</w:t>
      </w:r>
      <w:r>
        <w:rPr>
          <w:rFonts w:cs="Times New Roman" w:ascii="Times New Roman" w:hAnsi="Times New Roman"/>
          <w:b/>
          <w:bCs/>
          <w:i/>
          <w:iCs/>
          <w:sz w:val="24"/>
          <w:szCs w:val="24"/>
        </w:rPr>
        <w:t xml:space="preserve"> </w:t>
      </w:r>
      <w:r>
        <w:rPr>
          <w:rFonts w:eastAsia="Calibri" w:cs="Times New Roman" w:ascii="Times New Roman" w:hAnsi="Times New Roman" w:eastAsiaTheme="minorHAnsi"/>
          <w:b/>
          <w:bCs/>
          <w:i/>
          <w:iCs/>
          <w:color w:val="auto"/>
          <w:kern w:val="0"/>
          <w:sz w:val="24"/>
          <w:szCs w:val="24"/>
          <w:lang w:val="it-IT" w:eastAsia="en-US" w:bidi="ar-SA"/>
        </w:rPr>
        <w:t>E</w:t>
      </w:r>
      <w:r>
        <w:rPr>
          <w:rFonts w:cs="Times New Roman" w:ascii="Times New Roman" w:hAnsi="Times New Roman"/>
          <w:b/>
          <w:bCs/>
          <w:i/>
          <w:iCs/>
          <w:sz w:val="24"/>
          <w:szCs w:val="24"/>
        </w:rPr>
        <w:t xml:space="preserve">sperto consulente in contrattualistica pubblica e procedure ad evidenza pubblica a supporto degli uffici finalizzati all’attuazione dei progetti finanziati nell’ambito del PNRR – profilo SENIOR </w:t>
      </w:r>
      <w:r>
        <w:rPr>
          <w:rFonts w:cs="Times New Roman" w:ascii="Times New Roman" w:hAnsi="Times New Roman"/>
          <w:b/>
          <w:i/>
          <w:sz w:val="24"/>
          <w:szCs w:val="24"/>
        </w:rPr>
        <w:t>con esperienza lavorativa di almeno sette  anni</w:t>
      </w:r>
      <w:r>
        <w:rPr>
          <w:rFonts w:cs="Times New Roman" w:ascii="Times New Roman" w:hAnsi="Times New Roman"/>
          <w:sz w:val="24"/>
          <w:szCs w:val="24"/>
        </w:rPr>
        <w: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L’esperienza è riferita agli anni di attività professionale presso la P.A. o privati, nonché libera professione.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1.In particolare è richiesta: esperienza nell’attività di </w:t>
      </w:r>
      <w:r>
        <w:rPr>
          <w:rFonts w:eastAsia="Calibri" w:cs="Times New Roman" w:ascii="Times New Roman" w:hAnsi="Times New Roman" w:eastAsiaTheme="minorHAnsi"/>
          <w:color w:val="auto"/>
          <w:kern w:val="0"/>
          <w:sz w:val="24"/>
          <w:szCs w:val="24"/>
          <w:lang w:val="it-IT" w:eastAsia="en-US" w:bidi="ar-SA"/>
        </w:rPr>
        <w:t>analisi e studio delle politiche e del quadro normativo nazionale ed europeo riferito alla materia degli appalti pubblici; analisi, studio e approfondimento dei processi di semplificazione e delle riforme normative in materia di gestione degli approvvigionamento/acquisti di Enti pubblici o aziende pubbliche o private assoggettate all’applicazione del Codice dei Contratti pubblici (D.lgs. 50/2016 e ss.mm.e ii.); attività di supporto alla soluzione di problemi in ambito di gare e appalti e di natura gestionale e organizzativa</w:t>
      </w:r>
      <w:r>
        <w:rPr>
          <w:rFonts w:cs="Times New Roman" w:ascii="Times New Roman" w:hAnsi="Times New Roman"/>
          <w:sz w:val="24"/>
          <w:szCs w:val="24"/>
        </w:rPr>
        <w: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2.Il professionista svolgerà l’incarico a supporto dell’Amministrazione nella gestione delle procedure complesse, per il recupero dell’arretrato, nell’assistenza per la presentazione dei progetti e nelle attività di misurazione dei tempi effettivi di conclusione delle procedure, in modo da garantire la velocizzazione delle procedure amministrative propedeutiche all’implementazione dei progetti previsti PNRR.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3.Ai fini del calcolo degli anni di esperienza professionale si considerano gli anni di esperienza espressi in mesi, anche non continuativi, riferiti appunto alla durata dei contratti.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mese viene considerato per intero laddove l’esperto abbia prestato la propria attività per un tempo</w:t>
      </w:r>
    </w:p>
    <w:p>
      <w:pPr>
        <w:pStyle w:val="Normal"/>
        <w:tabs>
          <w:tab w:val="clear" w:pos="708"/>
          <w:tab w:val="left" w:pos="2470" w:leader="none"/>
        </w:tabs>
        <w:spacing w:before="0" w:after="0"/>
        <w:jc w:val="both"/>
        <w:rPr>
          <w:rFonts w:ascii="Times New Roman" w:hAnsi="Times New Roman" w:cs="Times New Roman"/>
          <w:sz w:val="24"/>
          <w:szCs w:val="24"/>
        </w:rPr>
      </w:pPr>
      <w:r>
        <w:rPr>
          <w:rFonts w:cs="Times New Roman" w:ascii="Times New Roman" w:hAnsi="Times New Roman"/>
          <w:sz w:val="24"/>
          <w:szCs w:val="24"/>
        </w:rPr>
        <w:t>superiore a 15 giorni.</w:t>
        <w:tab/>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Non sono cumulabili le esperienze lavorative svolte contemporaneamente nello stesso periodo per cui andrà specificata (nella domanda di partecipazione – Allegato n. 1) l’esperienza ritenuta più qualificante per ciascun singolo periodo contrattuale non sovrapponibile.</w:t>
      </w:r>
    </w:p>
    <w:p>
      <w:pPr>
        <w:pStyle w:val="Normal"/>
        <w:spacing w:before="0" w:after="0"/>
        <w:jc w:val="center"/>
        <w:rPr>
          <w:rFonts w:ascii="Times New Roman" w:hAnsi="Times New Roman" w:cs="Times New Roman"/>
          <w:b/>
          <w:b/>
          <w:sz w:val="24"/>
          <w:szCs w:val="24"/>
        </w:rPr>
      </w:pPr>
      <w:r>
        <w:rPr/>
      </w:r>
    </w:p>
    <w:p>
      <w:pPr>
        <w:pStyle w:val="Normal"/>
        <w:spacing w:before="0" w:after="0"/>
        <w:jc w:val="center"/>
        <w:rPr>
          <w:rFonts w:ascii="Times New Roman" w:hAnsi="Times New Roman" w:cs="Times New Roman"/>
          <w:b/>
          <w:b/>
          <w:sz w:val="24"/>
          <w:szCs w:val="24"/>
        </w:rPr>
      </w:pPr>
      <w:r>
        <w:rPr/>
      </w:r>
    </w:p>
    <w:p>
      <w:pPr>
        <w:pStyle w:val="Normal"/>
        <w:spacing w:before="0" w:after="0"/>
        <w:jc w:val="center"/>
        <w:rPr>
          <w:rFonts w:ascii="Times New Roman" w:hAnsi="Times New Roman" w:cs="Times New Roman"/>
          <w:b/>
          <w:b/>
          <w:sz w:val="24"/>
          <w:szCs w:val="24"/>
        </w:rPr>
      </w:pPr>
      <w:r>
        <w:rPr/>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Art. 2</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Requisiti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Il presente avviso è corredato dell’allegato n. 1 “</w:t>
      </w:r>
      <w:r>
        <w:rPr>
          <w:rFonts w:cs="Times New Roman" w:ascii="Times New Roman" w:hAnsi="Times New Roman"/>
          <w:i/>
          <w:sz w:val="24"/>
          <w:szCs w:val="24"/>
        </w:rPr>
        <w:t>Domanda di partecipazione</w:t>
      </w:r>
      <w:r>
        <w:rPr>
          <w:rFonts w:cs="Times New Roman" w:ascii="Times New Roman" w:hAnsi="Times New Roman"/>
          <w:sz w:val="24"/>
          <w:szCs w:val="24"/>
        </w:rPr>
        <w:t>”, che costituisce parte integrante e sostanziale dello stesso.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2. Per partecipare alla selezione i candidati, alla data di scadenza del termine per la presentazione delle domande, devono possedere i seguenti requisiti di ammissibilità, così come indicati nella domanda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essere in possesso della cittadinanza italiana o di uno degli Stati membri dell'Unione europea (ad</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eccezione delle ipotesi di cui all’art. 38 del d. Lgs. n. 165/2001 e s.m.i.).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Ai sensi dell’art. 38 del D.Lgs. n. 165/2001 e s.m.i., possono inoltre partecipare i familiari dei cittadini degli Stati membri dell'Unione europea non aventi la cittadinanza di uno Stato membro che siano titolari del diritto di soggiorno o del diritto di soggiorno permanente oppure i cittadini di Paesi Terzi che siano titolari del permesso di soggiorno CE per soggiornanti di lungo periodo o che siano titolari dello status di rifugiato ovvero dello status di protezione sussidiaria, ai sensi di quanto previsto dalla normativa vigente.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b) godere dei diritti civili e politici;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 non aver riportato condanne penali e non essere destinatario di provvedimenti che riguardano l’applicazione di misure di prevenzione, di decisioni civili e di provvedimenti amministrativi iscritti nel casellario giudiziale;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 non essere sottoposto a procedimenti penali;</w:t>
      </w:r>
    </w:p>
    <w:p>
      <w:pPr>
        <w:pStyle w:val="NormalWeb"/>
        <w:spacing w:lineRule="auto" w:line="276" w:beforeAutospacing="0" w:before="280" w:afterAutospacing="0" w:after="0"/>
        <w:jc w:val="both"/>
        <w:rPr/>
      </w:pPr>
      <w:r>
        <w:rPr/>
        <w:t xml:space="preserve">e) essere in possesso del seguente titolo di studio: </w:t>
      </w:r>
      <w:r>
        <w:rPr>
          <w:rFonts w:cs="Times New Roman"/>
          <w:sz w:val="24"/>
          <w:szCs w:val="24"/>
          <w:shd w:fill="auto" w:val="clear"/>
        </w:rPr>
        <w:t>Laurea conseguita con l’ordinamento di studi previgente al D.M.03.11.1999, n. 509 (vecchio ordinamento) o Laurea Specialistica/Magistrale conseguita con il nuovo ordinamento di cui alla normativa vigente (DL, LM, LS esclusa quella triennale);</w:t>
      </w:r>
    </w:p>
    <w:p>
      <w:pPr>
        <w:pStyle w:val="Normal"/>
        <w:spacing w:before="0" w:after="0"/>
        <w:jc w:val="both"/>
        <w:rPr>
          <w:rFonts w:ascii="Times New Roman" w:hAnsi="Times New Roman" w:cs="Times New Roman"/>
          <w:sz w:val="24"/>
          <w:szCs w:val="24"/>
        </w:rPr>
      </w:pPr>
      <w:r>
        <w:rPr>
          <w:rFonts w:eastAsia="Calibri" w:cs="Times New Roman" w:ascii="Times New Roman" w:hAnsi="Times New Roman" w:eastAsiaTheme="minorHAnsi"/>
          <w:color w:val="auto"/>
          <w:kern w:val="0"/>
          <w:sz w:val="24"/>
          <w:szCs w:val="24"/>
          <w:lang w:val="it-IT" w:eastAsia="en-US" w:bidi="ar-SA"/>
        </w:rPr>
        <w:t>f</w:t>
      </w:r>
      <w:r>
        <w:rPr>
          <w:rFonts w:cs="Times New Roman" w:ascii="Times New Roman" w:hAnsi="Times New Roman"/>
          <w:sz w:val="24"/>
          <w:szCs w:val="24"/>
        </w:rPr>
        <w:t>) essere in possesso di comprovata esperienza professionale strettamente correlata al contenuto della prestazione richiesta e delle competenze ricercate.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Il possesso del requisito inerente la comprovata esperienza professionale, strettamente correlata al contenuto della prestazione richiesta” (lettera </w:t>
      </w:r>
      <w:r>
        <w:rPr>
          <w:rFonts w:eastAsia="Calibri" w:cs="Times New Roman" w:ascii="Times New Roman" w:hAnsi="Times New Roman" w:eastAsiaTheme="minorHAnsi"/>
          <w:color w:val="auto"/>
          <w:kern w:val="0"/>
          <w:sz w:val="24"/>
          <w:szCs w:val="24"/>
          <w:lang w:val="it-IT" w:eastAsia="en-US" w:bidi="ar-SA"/>
        </w:rPr>
        <w:t>f</w:t>
      </w:r>
      <w:r>
        <w:rPr>
          <w:rFonts w:cs="Times New Roman" w:ascii="Times New Roman" w:hAnsi="Times New Roman"/>
          <w:sz w:val="24"/>
          <w:szCs w:val="24"/>
        </w:rPr>
        <w:t>) deve essere dichiarato nella domanda di partecipazione di cui all’Allegato n. 1, specificando il periodo di esperienza maturata nel settore richiesto e comunque non meno di sette anni.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Tutti i requisiti prescritti devono essere posseduti alla data di scadenza del termine utile per la presentazione della domanda di partecipazione e devono persistere, inoltre, al momento dell'eventuale contrattualizzazione del rapporto di lavoro. Devono essere dichiarati i requisiti solo se documentabili, anche ai fini dei controlli successivi.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La presentazione della domanda di partecipazione alla selezione di cui al presente Avviso ha valenza di piena accettazione delle condizioni in esso riportate, di piena consapevolezza della natura autonoma del rapporto lavorativo, nonché, di conoscenza ed accettazione delle norme, condizioni e prescrizioni dettate nel presente Avviso e in tutta la documentazione allegata.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5. Il presente Avviso e la successiva selezione non impegnano in alcun modo il comune di Messina al conferimento degli incarichi, e quest'ultimo si riserva la facoltà, a suo insindacabile giudizio, di sospendere o revocare in qualsiasi momento la selezione, tramite comunicazione sul sito web </w:t>
      </w:r>
      <w:hyperlink r:id="rId4">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senza che i concorrenti possano vantare alcun diritto.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6. L'esito positivo della selezione e l’utile inserimento in graduatoria, non genera in alcun modo obbligo di conferimento dell'incarico da parte del Comune.</w:t>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
    </w:p>
    <w:p>
      <w:pPr>
        <w:pStyle w:val="Normal"/>
        <w:spacing w:before="0" w:after="0"/>
        <w:jc w:val="center"/>
        <w:rPr>
          <w:rFonts w:ascii="Times New Roman" w:hAnsi="Times New Roman" w:cs="Times New Roman"/>
          <w:sz w:val="24"/>
          <w:szCs w:val="24"/>
        </w:rPr>
      </w:pPr>
      <w:r>
        <w:rPr>
          <w:rFonts w:cs="Times New Roman" w:ascii="Times New Roman" w:hAnsi="Times New Roman"/>
          <w:b/>
          <w:sz w:val="24"/>
          <w:szCs w:val="24"/>
        </w:rPr>
        <w:t>Art. 3</w:t>
      </w:r>
      <w:r>
        <w:rPr>
          <w:rFonts w:cs="Times New Roman" w:ascii="Times New Roman" w:hAnsi="Times New Roman"/>
          <w:sz w:val="24"/>
          <w:szCs w:val="24"/>
        </w:rPr>
        <w:t xml:space="preserve">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Presentazione della domanda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1.La domanda di partecipazione  alla selezione, resa ai sensi e per gli effetti del D.P.R. n.445/2000, deve essere presentata a far data dalla pubblicazione del presente avviso, deve pervenire entro e non oltre le </w:t>
      </w:r>
      <w:r>
        <w:rPr>
          <w:rFonts w:cs="Times New Roman" w:ascii="Times New Roman" w:hAnsi="Times New Roman"/>
          <w:sz w:val="24"/>
          <w:szCs w:val="24"/>
          <w:shd w:fill="auto" w:val="clear"/>
        </w:rPr>
        <w:t>ore 23:59 del giorno 16 mese Marzo  anno 2023</w:t>
      </w:r>
      <w:r>
        <w:rPr>
          <w:rFonts w:cs="Times New Roman" w:ascii="Times New Roman" w:hAnsi="Times New Roman"/>
          <w:sz w:val="24"/>
          <w:szCs w:val="24"/>
        </w:rPr>
        <w:t xml:space="preserve"> e deve rispettare, </w:t>
      </w:r>
      <w:r>
        <w:rPr>
          <w:rFonts w:cs="Times New Roman" w:ascii="Times New Roman" w:hAnsi="Times New Roman"/>
          <w:b/>
          <w:sz w:val="24"/>
          <w:szCs w:val="24"/>
        </w:rPr>
        <w:t>pena l’esclusione</w:t>
      </w:r>
      <w:r>
        <w:rPr>
          <w:rFonts w:cs="Times New Roman" w:ascii="Times New Roman" w:hAnsi="Times New Roman"/>
          <w:sz w:val="24"/>
          <w:szCs w:val="24"/>
        </w:rPr>
        <w:t>, le prescrizioni e le modalità di trasmissione di seguito riportate: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essere redatta e conforme allo schema di cui all'Allegato n. 1 al presente Avviso, lasciando inalterati i contenuti anche laddove non di pertinenza del candidato. Le parti di dichiarazione vanno sempre rese, anche se negative, pertanto lasciando vuoto o “barrando” lo spazio che si ritiene di non dover compilare perché non di pertinenza. Sono escluse le domande presentate con modalità diverse;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b) essere sottoscritta con </w:t>
      </w:r>
      <w:r>
        <w:rPr>
          <w:rFonts w:cs="Times New Roman" w:ascii="Times New Roman" w:hAnsi="Times New Roman"/>
          <w:b/>
          <w:sz w:val="24"/>
          <w:szCs w:val="24"/>
          <w:u w:val="single"/>
        </w:rPr>
        <w:t>firma autografa sull'ultima pagina (con firma per esteso e leggibile),</w:t>
      </w:r>
      <w:r>
        <w:rPr>
          <w:rFonts w:cs="Times New Roman" w:ascii="Times New Roman" w:hAnsi="Times New Roman"/>
          <w:sz w:val="24"/>
          <w:szCs w:val="24"/>
        </w:rPr>
        <w:t xml:space="preserve"> successivamente scansionata in formato pdf in un unico file. È possibile la presentazione della domanda firmata digitalmente;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 essere corredata degli allegati di seguito indicati che devono rispettare le caratteristiche richieste: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Curriculum vitae (CV)</w:t>
      </w:r>
      <w:r>
        <w:rPr>
          <w:rFonts w:cs="Times New Roman" w:ascii="Times New Roman" w:hAnsi="Times New Roman"/>
          <w:sz w:val="24"/>
          <w:szCs w:val="24"/>
        </w:rPr>
        <w:t xml:space="preserve"> in formato europeo, scansionato in formato Pdf, deve essere trasmesso in un unico file separato dalla domanda e dal documento di identità. Nel CV devono risultare le esperienze professionali, nonché tutti gli elementi utili alla valutazione delle competenze ed esperienze specifiche richieste e i “Titoli” di cui all’art. 5 del presente Avviso che devono essere coerenti e riconducibili al profilo per il quale si presenta la domanda. Gli elementi oggetto di valutazione (es. contratti di lavoro, titoli, etc.) devono essere documentabili ai fini dei successi controlli di cui all’art.4, comma 12 del presente Avviso. La documentazione probante sarà successivamente richiesta dall’Amministrazione, non essendo necessario allegarla nella fase di presentazione della domanda.</w:t>
      </w:r>
    </w:p>
    <w:p>
      <w:pPr>
        <w:pStyle w:val="Normal"/>
        <w:spacing w:before="0" w:after="0"/>
        <w:jc w:val="both"/>
        <w:rPr>
          <w:rFonts w:ascii="Times New Roman" w:hAnsi="Times New Roman" w:cs="Times New Roman"/>
          <w:b/>
          <w:b/>
          <w:sz w:val="24"/>
          <w:szCs w:val="24"/>
          <w:u w:val="single"/>
        </w:rPr>
      </w:pPr>
      <w:r>
        <w:rPr>
          <w:rFonts w:cs="Times New Roman" w:ascii="Times New Roman" w:hAnsi="Times New Roman"/>
          <w:sz w:val="24"/>
          <w:szCs w:val="24"/>
        </w:rPr>
        <w:t xml:space="preserve">Il curriculum vitae, in lingua italiana, </w:t>
      </w:r>
      <w:r>
        <w:rPr>
          <w:rFonts w:cs="Times New Roman" w:ascii="Times New Roman" w:hAnsi="Times New Roman"/>
          <w:b/>
          <w:sz w:val="24"/>
          <w:szCs w:val="24"/>
          <w:u w:val="single"/>
        </w:rPr>
        <w:t>datato e sottoscritto all’ultima pagina con firma autografa (con firma per esteso e leggibile), o con firma digitale</w:t>
      </w:r>
      <w:r>
        <w:rPr>
          <w:rFonts w:cs="Times New Roman" w:ascii="Times New Roman" w:hAnsi="Times New Roman"/>
          <w:sz w:val="24"/>
          <w:szCs w:val="24"/>
        </w:rPr>
        <w:t xml:space="preserve">, deve essere redatto rispettando gli standard del formato europeo (formato europeo tradizionale o formato Europass  ed in formato pdf in un unico file. Deve inoltre riportare </w:t>
      </w:r>
      <w:r>
        <w:rPr>
          <w:rFonts w:cs="Times New Roman" w:ascii="Times New Roman" w:hAnsi="Times New Roman"/>
          <w:b/>
          <w:sz w:val="24"/>
          <w:szCs w:val="24"/>
          <w:u w:val="single"/>
        </w:rPr>
        <w:t>“l’autorizzazione al trattamento dei dati personali ai  sensi</w:t>
      </w:r>
      <w:r>
        <w:rPr>
          <w:rFonts w:eastAsia="Batang, 바탕" w:cs="Times New Roman" w:ascii="Times New Roman" w:hAnsi="Times New Roman"/>
          <w:lang w:eastAsia="it-IT"/>
        </w:rPr>
        <w:t xml:space="preserve"> </w:t>
      </w:r>
      <w:r>
        <w:rPr>
          <w:rFonts w:eastAsia="Batang, 바탕" w:cs="Times New Roman" w:ascii="Times New Roman" w:hAnsi="Times New Roman"/>
          <w:b/>
          <w:sz w:val="24"/>
          <w:szCs w:val="24"/>
          <w:u w:val="single"/>
          <w:lang w:eastAsia="it-IT"/>
        </w:rPr>
        <w:t xml:space="preserve">del Regolamento UE 2016/679 (GDPR) – (Regolamento Europeo relativo al trattamento dei dati personali)  e della normativa nazionale (D.Lgs. 196/2003 modificato dal D.Lgs. n. 101/2018) e </w:t>
      </w:r>
      <w:r>
        <w:rPr>
          <w:rFonts w:cs="Times New Roman" w:ascii="Times New Roman" w:hAnsi="Times New Roman"/>
          <w:b/>
          <w:sz w:val="24"/>
          <w:szCs w:val="24"/>
          <w:u w:val="single"/>
        </w:rPr>
        <w:t xml:space="preserve"> la dichiarazione di veridicità dei dati ai sensi del D.P.R. n. 445/2000 e ss.mm.ii.”;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b/>
          <w:sz w:val="24"/>
          <w:szCs w:val="24"/>
        </w:rPr>
        <w:t>Copia di un documento di identità</w:t>
      </w:r>
      <w:r>
        <w:rPr>
          <w:rFonts w:cs="Times New Roman" w:ascii="Times New Roman" w:hAnsi="Times New Roman"/>
          <w:sz w:val="24"/>
          <w:szCs w:val="24"/>
        </w:rPr>
        <w:t xml:space="preserve"> del sottoscrittore in corso di validità, trasmesso in formato pdf in un unico file separato dalla domanda e dal CV.</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2.  I candidati devono autorizzare il trattamento dei dati personali per le finalità e con le modalità di cui al </w:t>
      </w:r>
      <w:r>
        <w:rPr>
          <w:rFonts w:eastAsia="Batang, 바탕" w:cs="Times New Roman" w:ascii="Times New Roman" w:hAnsi="Times New Roman"/>
          <w:sz w:val="24"/>
          <w:szCs w:val="24"/>
          <w:lang w:eastAsia="it-IT"/>
        </w:rPr>
        <w:t>Regolamento UE 2016/679 (GDPR) – (Regolamento Europeo relativo al trattamento dei dati personali)  e della normativa nazionale (D.Lgs. 196/2003 modificato dal D.Lgs. n. 101/2018).</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3. La trasmissione della domanda di partecipazione, del CV e del documento di identità, ciascuno di essi in PDF, deve avvenire solo in formato elettronico tramite Posta Elettronica Certificata (PEC) - a mezzo di una unica posta elettronica certificata (PEC) contenente i 3 file separati - al seguente indirizzo:  Direzione Generale del Comune di Messina   PEC:  </w:t>
      </w:r>
      <w:hyperlink r:id="rId5">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L’oggetto della PEC deve riportare la dicitura: “</w:t>
      </w:r>
      <w:r>
        <w:rPr>
          <w:rFonts w:cs="Times New Roman" w:ascii="Times New Roman" w:hAnsi="Times New Roman"/>
          <w:b/>
          <w:bCs/>
          <w:i/>
          <w:iCs/>
          <w:sz w:val="24"/>
          <w:szCs w:val="24"/>
        </w:rPr>
        <w:t xml:space="preserve">Avviso n. </w:t>
      </w:r>
      <w:r>
        <w:rPr>
          <w:rFonts w:cs="Times New Roman" w:ascii="Times New Roman" w:hAnsi="Times New Roman"/>
          <w:b/>
          <w:i/>
          <w:sz w:val="24"/>
          <w:szCs w:val="24"/>
        </w:rPr>
        <w:t xml:space="preserve">1 </w:t>
      </w:r>
      <w:r>
        <w:rPr>
          <w:rFonts w:eastAsia="Calibri" w:cs="Times New Roman" w:ascii="Times New Roman" w:hAnsi="Times New Roman" w:eastAsiaTheme="minorHAnsi"/>
          <w:b/>
          <w:i/>
          <w:color w:val="auto"/>
          <w:kern w:val="0"/>
          <w:sz w:val="24"/>
          <w:szCs w:val="24"/>
          <w:lang w:val="it-IT" w:eastAsia="en-US" w:bidi="ar-SA"/>
        </w:rPr>
        <w:t>E</w:t>
      </w:r>
      <w:r>
        <w:rPr>
          <w:rFonts w:cs="Times New Roman" w:ascii="Times New Roman" w:hAnsi="Times New Roman"/>
          <w:b/>
          <w:i/>
          <w:sz w:val="24"/>
          <w:szCs w:val="24"/>
        </w:rPr>
        <w:t>sperto consulente in contrattualistica pubblica e procedure ad evidenza pubblica - profilo SENIOR - PNRR</w:t>
      </w:r>
      <w:r>
        <w:rPr>
          <w:rFonts w:cs="Times New Roman" w:ascii="Times New Roman" w:hAnsi="Times New Roman"/>
          <w:sz w:val="24"/>
          <w:szCs w:val="24"/>
        </w:rPr>
        <w:t xml:space="preserv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domanda deve pervenire dal candidato mediante la propria casella di Posta Elettronica Certificata secondo le vigenti disposizioni (art. 65 D.Lgs. n. 82/2005) ossia da PEC la cui titolarità sia associata all'identità del candidato.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Ai fini dell’ammissibilità fa fede l’orario di ricezione della domanda di partecipazione presso la citata casella PEC del Comune di Messina.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La mancanza di un allegato, nonché, la non conformità alle caratteristiche richieste comporta l'esclusione della domanda.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Non saranno prese in considerazione le domande/documentazioni sostitutive, aggiuntive o integrative che perverranno al Comune oltre il termine fissato per la ricezione delle domande o secondo modalità diverse da quella descritta nei precedenti commi o che dovessero risultare incomplete. Il Comune inoltre non risponde di eventuali ritardi e/o disguidi, erronee comunicazioni, quale ne sia la causa o comunque imputabili al candidato o a fatto di terzi, a caso fortuito o forza maggiore, in ordine alle domande e/o documenti pervenuti oltre il predetto termine.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6. Il recapito che il candidato elegge ai fini della procedura è quello della Posta Elettronica Certificata (PEC) da cui perviene la domanda di partecipazione. Ogni sua eventuale variazione deve essere comunicata           tempestivamente           tramite           PEC           al           citato           indirizzo: Direzione Generale del Comune di Messina PEC: </w:t>
      </w:r>
      <w:hyperlink r:id="rId6">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7. In caso di irreperibilità del candidato per fatto non imputabile al Comune  (a causa per es. della disattivazione dell’account di PEC e/o di casella elettronica piena” o non funzionante, etc.), le comunicazioni si intendono regolarmente effettuate.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presentazione della domanda di partecipazione alla selezione di cui al presente Avviso ha valenza di piena accettazione delle condizioni in esso riportate, di piena consapevolezza della natura autonoma del rapporto lavorativo nonché di conoscenza ed accettazione delle norme, condizioni e prescrizioni dettate nel presente Avviso e in tutta la documentazione allegata.</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4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Procedura di selezione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1.E’ garantita la parità di accesso a tutte le posizioni nel rispetto dell’equità di genere, religione, idee, cultura e ogni altra caratteristica personale.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Responsabile del Procedimento scaduti i termini per la presentazione della domanda, provvede a verificare che le domande siano pervenute entro i termini e con le modalità stabilite all' art. 3 del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2. Ai fini della verifica di cui al precedente comma, costituiscono </w:t>
      </w:r>
      <w:r>
        <w:rPr>
          <w:rFonts w:cs="Times New Roman" w:ascii="Times New Roman" w:hAnsi="Times New Roman"/>
          <w:b/>
          <w:sz w:val="24"/>
          <w:szCs w:val="24"/>
        </w:rPr>
        <w:t>cause di inammissibilità</w:t>
      </w:r>
      <w:r>
        <w:rPr>
          <w:rFonts w:cs="Times New Roman" w:ascii="Times New Roman" w:hAnsi="Times New Roman"/>
          <w:sz w:val="24"/>
          <w:szCs w:val="24"/>
        </w:rPr>
        <w: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la presentazione della domanda redatta secondo uno schema diverso dall’Allegato 1 al presente Avviso. Le dichiarazioni vanno sempre rese, anche se negative.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b) la presentazione della domanda priva della dichiarazione resa ai sensi del D.P.R. n. 445/2000 e s.m.i., come riportato nello schema di cui all’Allegato 1 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c) la presentazione della domanda priva della dichiarazione resa ai sensi </w:t>
      </w:r>
      <w:r>
        <w:rPr>
          <w:rFonts w:eastAsia="Batang, 바탕" w:cs="Times New Roman" w:ascii="Times New Roman" w:hAnsi="Times New Roman"/>
          <w:sz w:val="24"/>
          <w:szCs w:val="24"/>
          <w:lang w:eastAsia="it-IT"/>
        </w:rPr>
        <w:t>Regolamento UE 2016/679 (GDPR) – (Regolamento Europeo relativo al trattamento dei dati personali)  e della normativa nazionale (D.Lgs. 196/2003 modificato dal D.Lgs. n. 101/2018)</w:t>
      </w:r>
      <w:r>
        <w:rPr>
          <w:rFonts w:cs="Times New Roman" w:ascii="Times New Roman" w:hAnsi="Times New Roman"/>
          <w:sz w:val="24"/>
          <w:szCs w:val="24"/>
        </w:rPr>
        <w:t xml:space="preserve"> sull’autorizzazione al trattamento dei dati personali, come riportato nello schema di cui all’Allegato 1 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 la mancanza della firma del candidato sulla domanda (fatto salvo il caso in cui la domanda venga firmata digitalmente);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e) la mancanza del curriculum vitae;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f) la mancanza della copia del documento di identità;</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g) la presentazione della domanda e/o del curriculum vitae in formato diverso da pdf;</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h) la presentazione della domanda oltre il termine fissato dal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 la trasmissione della domanda e degli allegati, all’indirizzo PEC indicato nell’Avviso, con un</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mezzo diverso dalla PEC;</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j) la trasmissione della domanda e degli allegati, ad un indirizzo PEC diverso da quello indicato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nell’Avviso;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k) essere collocato in quiescenza alla data di pubblicazione dell’Avviso.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La procedura selettiva sarà esperita attraverso la comparazione dei curricula e lo svolgimento di successivi colloqui e sarà affidata ad una Commissione esaminatrice che sarà nominata scaduti i termini di presentazione delle candidature.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Commissione  sarà composta da tre membri, un Presidente e due Componenti, coadiuvati da un Segretario che possono svolgere i propri lavori anche con modalità telematiche o informatiche tramite l’impiego di tecnologie che permettono la partecipazione e comunicazione a distanza.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4. La Commissione procede alla valutazione attraverso le seguenti </w:t>
      </w:r>
      <w:r>
        <w:rPr>
          <w:rFonts w:cs="Times New Roman" w:ascii="Times New Roman" w:hAnsi="Times New Roman"/>
          <w:b/>
          <w:sz w:val="24"/>
          <w:szCs w:val="24"/>
        </w:rPr>
        <w:t>fasi: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fase a</w:t>
      </w:r>
      <w:r>
        <w:rPr>
          <w:rFonts w:cs="Times New Roman" w:ascii="Times New Roman" w:hAnsi="Times New Roman"/>
          <w:sz w:val="24"/>
          <w:szCs w:val="24"/>
        </w:rPr>
        <w:t xml:space="preserve">) valutazione dei titoli sulla base dei criteri indicati al successivo art.5 de dell’Avviso. È prevista l'assegnazione di un punteggio massimo di </w:t>
      </w:r>
      <w:r>
        <w:rPr>
          <w:rFonts w:cs="Times New Roman" w:ascii="Times New Roman" w:hAnsi="Times New Roman"/>
          <w:b/>
          <w:sz w:val="24"/>
          <w:szCs w:val="24"/>
        </w:rPr>
        <w:t>20 punti</w:t>
      </w:r>
      <w:r>
        <w:rPr>
          <w:rFonts w:cs="Times New Roman" w:ascii="Times New Roman" w:hAnsi="Times New Roman"/>
          <w:sz w:val="24"/>
          <w:szCs w:val="24"/>
        </w:rPr>
        <w:t>; sono valutate solo le esperienze di cui siano desumibili tutti i dati e le informazioni necessari e sufficienti per permettere alla Commissione di effettuare la valutazione, specificando l'Amministrazione/ente/soggetto per il quale si è prestata l’attività, il periodo (giorno, mese e anno di inizio e fine), l’oggetto dell’incarico e le attività svolte.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Concorrono alla valutazione i titoli indicati nella domanda, gli anni di attività professionale maturati e le esperienze maturate e descritte nel CV, che devono coincidere.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fase b)</w:t>
      </w:r>
      <w:r>
        <w:rPr>
          <w:rFonts w:cs="Times New Roman" w:ascii="Times New Roman" w:hAnsi="Times New Roman"/>
          <w:sz w:val="24"/>
          <w:szCs w:val="24"/>
        </w:rPr>
        <w:t xml:space="preserve"> colloquio individuale diretto a valutare le competenze ed esperienze dichiarate nel CV, nonché l'attitudine del candidato in relazione all'oggetto dell'incarico e alla specifiche competenze richieste. È prevista 1'assegnazione di un punteggio massimo di 3</w:t>
      </w:r>
      <w:r>
        <w:rPr>
          <w:rFonts w:cs="Times New Roman" w:ascii="Times New Roman" w:hAnsi="Times New Roman"/>
          <w:b/>
          <w:sz w:val="24"/>
          <w:szCs w:val="24"/>
        </w:rPr>
        <w:t>0 punti.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Il punteggio massimo complessivo attribuibile nelle due fasi è di 50 punti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La Commissione, al termine della fase a) redige una prima graduatoria di merito contenente l’elenco dei nominativi dei candidati secondo l’ordine di merito.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6. Per la valutazione finale e sulla base delle risultanze della fase a), sono invitati al colloquio, attraverso comunicazione PEC, di cui alla fase b) un numero di candidati pari a 5 volte il numero della posizione richiesta, secondo l’ordine della citata graduatoria di merito, e saranno compresi gli eventuali parità di punteggio.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Si procede comunque al colloquio anche in presenza di un solo candidato.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7. I candidati ammessi a colloquio (se del caso anche in modalità telematica) saranno convocati – con indicazione di data e di orario del colloquio - tramite PEC e i nominativi degli stessi pubblicati </w:t>
      </w:r>
      <w:r>
        <w:rPr>
          <w:rFonts w:eastAsia="Calibri" w:cs="Times New Roman" w:ascii="Times New Roman" w:hAnsi="Times New Roman" w:eastAsiaTheme="minorHAnsi"/>
          <w:color w:val="auto"/>
          <w:kern w:val="0"/>
          <w:sz w:val="24"/>
          <w:szCs w:val="24"/>
          <w:lang w:val="it-IT" w:eastAsia="en-US" w:bidi="ar-SA"/>
        </w:rPr>
        <w:t>sul sito del Comune.</w:t>
      </w:r>
    </w:p>
    <w:p>
      <w:pPr>
        <w:pStyle w:val="Normal"/>
        <w:spacing w:before="0" w:after="0"/>
        <w:jc w:val="both"/>
        <w:rPr>
          <w:rFonts w:ascii="Times New Roman" w:hAnsi="Times New Roman" w:eastAsia="Calibri" w:cs="Times New Roman" w:eastAsiaTheme="minorHAnsi"/>
          <w:color w:val="auto"/>
          <w:kern w:val="0"/>
          <w:sz w:val="24"/>
          <w:szCs w:val="24"/>
          <w:lang w:val="it-IT" w:eastAsia="en-US" w:bidi="ar-SA"/>
        </w:rPr>
      </w:pPr>
      <w:r>
        <w:rPr>
          <w:rFonts w:eastAsia="Calibri" w:cs="Times New Roman" w:ascii="Times New Roman" w:hAnsi="Times New Roman" w:eastAsiaTheme="minorHAnsi"/>
          <w:color w:val="auto"/>
          <w:kern w:val="0"/>
          <w:sz w:val="24"/>
          <w:szCs w:val="24"/>
          <w:lang w:val="it-IT" w:eastAsia="en-US" w:bidi="ar-SA"/>
        </w:rPr>
        <w:t>8. La rinuncia e/o l’assenza ingiustificata nella data e nell’ora stabilita del colloquio, comporta l’esclusione dalla procedura selettiva</w:t>
      </w:r>
    </w:p>
    <w:p>
      <w:pPr>
        <w:pStyle w:val="Normal"/>
        <w:rPr>
          <w:rFonts w:ascii="Times New Roman" w:hAnsi="Times New Roman" w:eastAsia="Calibri" w:cs="Times New Roman" w:eastAsiaTheme="minorHAnsi"/>
          <w:color w:val="auto"/>
          <w:kern w:val="0"/>
          <w:sz w:val="24"/>
          <w:szCs w:val="24"/>
          <w:lang w:val="it-IT" w:eastAsia="en-US" w:bidi="ar-SA"/>
        </w:rPr>
      </w:pPr>
      <w:r>
        <w:rPr>
          <w:rFonts w:eastAsia="Calibri" w:cs="Times New Roman" w:ascii="Times New Roman" w:hAnsi="Times New Roman" w:eastAsiaTheme="minorHAnsi"/>
          <w:color w:val="auto"/>
          <w:kern w:val="0"/>
          <w:sz w:val="24"/>
          <w:szCs w:val="24"/>
          <w:lang w:val="it-IT" w:eastAsia="en-US" w:bidi="ar-SA"/>
        </w:rPr>
        <w:t xml:space="preserve">9. Al termine della fase b) la Commissione formula la rispettiva graduatoria finale, sommando i punteggi della fase a) e b). </w:t>
      </w:r>
      <w:r>
        <w:rPr>
          <w:rFonts w:eastAsia="Calibri" w:cs="Times New Roman" w:ascii="Times New Roman" w:hAnsi="Times New Roman" w:eastAsiaTheme="minorHAnsi"/>
          <w:iCs/>
          <w:color w:val="auto"/>
          <w:kern w:val="0"/>
          <w:sz w:val="24"/>
          <w:szCs w:val="24"/>
          <w:lang w:val="it-IT" w:eastAsia="en-US" w:bidi="ar-SA"/>
        </w:rPr>
        <w:t>Nella formulazione della graduatoria di merito la Commissione dovrà tenere conto di quanto previsto dall’art. 5 del DPR n. 487/94 e ss.mm. e ii. in materia di categorie riservatarie e preferenze.</w:t>
      </w:r>
    </w:p>
    <w:p>
      <w:pPr>
        <w:pStyle w:val="Normal"/>
        <w:spacing w:before="0" w:after="0"/>
        <w:jc w:val="both"/>
        <w:rPr>
          <w:rFonts w:ascii="Times New Roman" w:hAnsi="Times New Roman" w:eastAsia="Calibri" w:cs="Times New Roman" w:eastAsiaTheme="minorHAnsi"/>
          <w:color w:val="auto"/>
          <w:kern w:val="0"/>
          <w:sz w:val="24"/>
          <w:szCs w:val="24"/>
          <w:lang w:val="it-IT" w:eastAsia="en-US" w:bidi="ar-SA"/>
        </w:rPr>
      </w:pPr>
      <w:r>
        <w:rPr>
          <w:rFonts w:eastAsia="Calibri" w:cs="Times New Roman" w:ascii="Times New Roman" w:hAnsi="Times New Roman" w:eastAsiaTheme="minorHAnsi"/>
          <w:color w:val="auto"/>
          <w:kern w:val="0"/>
          <w:sz w:val="24"/>
          <w:szCs w:val="24"/>
          <w:lang w:val="it-IT" w:eastAsia="en-US" w:bidi="ar-SA"/>
        </w:rPr>
        <w:t>La “graduatoria finale” è predisposta dalla Commissione secondo l’ordine di merito e contiene:</w:t>
      </w:r>
    </w:p>
    <w:p>
      <w:pPr>
        <w:pStyle w:val="Normal"/>
        <w:spacing w:before="0" w:after="0"/>
        <w:jc w:val="both"/>
        <w:rPr>
          <w:rFonts w:ascii="Times New Roman" w:hAnsi="Times New Roman" w:eastAsia="Calibri" w:cs="Times New Roman" w:eastAsiaTheme="minorHAnsi"/>
          <w:color w:val="auto"/>
          <w:kern w:val="0"/>
          <w:sz w:val="24"/>
          <w:szCs w:val="24"/>
          <w:lang w:val="it-IT" w:eastAsia="en-US" w:bidi="ar-SA"/>
        </w:rPr>
      </w:pPr>
      <w:r>
        <w:rPr>
          <w:rFonts w:eastAsia="Calibri" w:cs="Times New Roman" w:ascii="Times New Roman" w:hAnsi="Times New Roman" w:eastAsiaTheme="minorHAnsi"/>
          <w:color w:val="auto"/>
          <w:kern w:val="0"/>
          <w:sz w:val="24"/>
          <w:szCs w:val="24"/>
          <w:lang w:val="it-IT" w:eastAsia="en-US" w:bidi="ar-SA"/>
        </w:rPr>
        <w:t>-   il “vincitore” ;</w:t>
      </w:r>
    </w:p>
    <w:p>
      <w:pPr>
        <w:pStyle w:val="Normal"/>
        <w:spacing w:before="0" w:after="0"/>
        <w:jc w:val="both"/>
        <w:rPr>
          <w:rFonts w:ascii="Times New Roman" w:hAnsi="Times New Roman" w:eastAsia="Calibri" w:cs="Times New Roman" w:eastAsiaTheme="minorHAnsi"/>
          <w:color w:val="auto"/>
          <w:kern w:val="0"/>
          <w:sz w:val="24"/>
          <w:szCs w:val="24"/>
          <w:lang w:val="it-IT" w:eastAsia="en-US" w:bidi="ar-SA"/>
        </w:rPr>
      </w:pPr>
      <w:r>
        <w:rPr>
          <w:rFonts w:eastAsia="Calibri" w:cs="Times New Roman" w:ascii="Times New Roman" w:hAnsi="Times New Roman" w:eastAsiaTheme="minorHAnsi"/>
          <w:color w:val="auto"/>
          <w:kern w:val="0"/>
          <w:sz w:val="24"/>
          <w:szCs w:val="24"/>
          <w:lang w:val="it-IT" w:eastAsia="en-US" w:bidi="ar-SA"/>
        </w:rPr>
        <w:t>- gli “idonei” (coloro che, avendo superato le fasi a) e b), rimangono in posizione utile in caso di eventuale scorrimento della graduatoria.</w:t>
      </w:r>
    </w:p>
    <w:p>
      <w:pPr>
        <w:pStyle w:val="Normal"/>
        <w:spacing w:before="0" w:after="0"/>
        <w:jc w:val="both"/>
        <w:rPr>
          <w:rFonts w:ascii="Times New Roman" w:hAnsi="Times New Roman" w:eastAsia="Calibri" w:cs="Times New Roman" w:eastAsiaTheme="minorHAnsi"/>
          <w:color w:val="auto"/>
          <w:kern w:val="0"/>
          <w:sz w:val="24"/>
          <w:szCs w:val="24"/>
          <w:lang w:val="it-IT" w:eastAsia="en-US" w:bidi="ar-SA"/>
        </w:rPr>
      </w:pPr>
      <w:r>
        <w:rPr>
          <w:rFonts w:eastAsia="Calibri" w:cs="Times New Roman" w:ascii="Times New Roman" w:hAnsi="Times New Roman" w:eastAsiaTheme="minorHAnsi"/>
          <w:color w:val="auto"/>
          <w:kern w:val="0"/>
          <w:sz w:val="24"/>
          <w:szCs w:val="24"/>
          <w:lang w:val="it-IT" w:eastAsia="en-US" w:bidi="ar-SA"/>
        </w:rPr>
        <w:t>10. Il RUP, verificata la legittimità della procedura, adotta il provvedimento di approvazione della graduatoria finale.</w:t>
      </w:r>
    </w:p>
    <w:p>
      <w:pPr>
        <w:pStyle w:val="Normal"/>
        <w:spacing w:before="0" w:after="0"/>
        <w:jc w:val="both"/>
        <w:rPr>
          <w:rFonts w:ascii="Times New Roman" w:hAnsi="Times New Roman" w:cs="Times New Roman"/>
          <w:sz w:val="24"/>
          <w:szCs w:val="24"/>
        </w:rPr>
      </w:pPr>
      <w:r>
        <w:rPr>
          <w:rFonts w:eastAsia="Calibri" w:cs="Times New Roman" w:ascii="Times New Roman" w:hAnsi="Times New Roman" w:eastAsiaTheme="minorHAnsi"/>
          <w:color w:val="auto"/>
          <w:kern w:val="0"/>
          <w:sz w:val="24"/>
          <w:szCs w:val="24"/>
          <w:lang w:val="it-IT" w:eastAsia="en-US" w:bidi="ar-SA"/>
        </w:rPr>
        <w:t>11. Il provvedimento co</w:t>
      </w:r>
      <w:r>
        <w:rPr>
          <w:rFonts w:cs="Times New Roman" w:ascii="Times New Roman" w:hAnsi="Times New Roman"/>
          <w:sz w:val="24"/>
          <w:szCs w:val="24"/>
        </w:rPr>
        <w:t xml:space="preserve">ntenente la “graduatoria finale” sarà pubblicato sul sito del Comune </w:t>
      </w:r>
      <w:hyperlink r:id="rId7">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con valore di notifica a tutti gli effetti di legge. La medesima “graduatoria finale” avrà una durata di 36 mesi dalla data della pubblicazione.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12. Il Comune, per il vincitore, procede ad idonei controlli sulla veridicità di quanto dichiarato in sede di partecipazione e nel curriculum vitae. Si applicano, ove ve ne siano i presupposti, le  disposizioni di cui all'art. 76 del D.P.R. 445/2000 e s.m.i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 caso di conferimento dell'incarico, la stipula del contratto è subordinata alla presentazione da parte del candidato selezionato di una dichiarazione resa ai sensi e per gli effetti del DPR 445/2000 e s.m.i. riguardante, tra 1’altro, l’insussistenza di situazioni di conflitto di interesse, di incompatibilità. di cause di inconferibilità. Siffatte situazioni soggettive dovranno perdurare per l’intera durata dell’incarico.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Inoltre, laddove il candidato vincitore sia dipendente di pubblica amministrazione dovrà presentare ai sensi dell'art.53 del D.Lgs.165/2001, apposita autorizzazione da parte dell'amministrazione di appartenenza, senza la quale non si potrà procedere alla contrattualizzazione dell’incarico.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13. Il presente Avviso e la successiva selezione non impegnano in alcun modo il Comune al conferimento dell’incarico e quest’ultimo si riserva la facoltà, a suo insindacabile giudizio, di sospendere o revocare in qualsiasi momento la selezione, tramite comunicazione sul sito istituzionale del Comune, senza che i concorrenti possano vantare alcun diritto.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14. L’esito positivo della selezione e l'utile inserimento in graduatoria non generano in alcun modo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l’obbligo di conferimento dell'incarico da parte del comune.</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5.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Criteri di valutazione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Comune individuerà il soggetto a cui conferire l'incarico mediante procedura di selezione volta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 particolare a verificare la coerenza e la corrispondenza circa l'esperienza professionale in relazione alle competenze specifiche richieste e la coerenza con gli ambiti di intervento e le attività per cui il candidato si propone in base alle esperienze indicate nel curriculum.</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Fase a</w:t>
      </w:r>
      <w:r>
        <w:rPr>
          <w:rFonts w:cs="Times New Roman" w:ascii="Times New Roman" w:hAnsi="Times New Roman"/>
          <w:sz w:val="24"/>
          <w:szCs w:val="24"/>
        </w:rPr>
        <w:t xml:space="preserve">) </w:t>
      </w:r>
      <w:r>
        <w:rPr>
          <w:rFonts w:cs="Times New Roman" w:ascii="Times New Roman" w:hAnsi="Times New Roman"/>
          <w:b/>
          <w:sz w:val="24"/>
          <w:szCs w:val="24"/>
        </w:rPr>
        <w:t>valutazione dei titoli: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Tutti i titoli di cui il candidato richiede la valutazione devono essere posseduti alla data di presentazione della domanda.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2. la valutazione dei titoli è effettuata dalla Commissione. Il punteggio attribuito per la valutazione dei titoli è reso noto a ciascun candidato mediante la pubblicazione della graduatoria parziale sul sito web del Comune, nella sezione Amministrazione Trasparente. Tale forma di pubblicità costituisce comunicazione ai candidati ad ogni effetto di legge.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I titoli valutabili, ai fini della stesura della graduatoria di merito, non potranno superare il valore massimo complessivo di punti 20. In particolare, ai fini della valutazione, i titoli sino suddivisi in tre categorie ed i complessivi 20 punti ad essi riservati sono così ripartiti.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A) Titoli di studio e di formazione (max 5 punti)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B) Esperienza lavorativa e titoli di servizio (max 13 punti)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C) Titoli vari (max 2 punti)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Si precisa che saranno valutati solo i titoli il cui possesso è autocertificato ai sensi dell’art.47 D.P.R. 28 dicembre 2000, n.445. La documentazione sarà successivamente esibita dagli interessati nei termini richiesti dall’Amministrazione comunale.</w:t>
      </w:r>
    </w:p>
    <w:tbl>
      <w:tblPr>
        <w:tblW w:w="9636" w:type="dxa"/>
        <w:jc w:val="left"/>
        <w:tblInd w:w="112" w:type="dxa"/>
        <w:tblLayout w:type="fixed"/>
        <w:tblCellMar>
          <w:top w:w="0" w:type="dxa"/>
          <w:left w:w="5" w:type="dxa"/>
          <w:bottom w:w="0" w:type="dxa"/>
          <w:right w:w="5" w:type="dxa"/>
        </w:tblCellMar>
        <w:tblLook w:val="0000"/>
      </w:tblPr>
      <w:tblGrid>
        <w:gridCol w:w="6659"/>
        <w:gridCol w:w="2976"/>
      </w:tblGrid>
      <w:tr>
        <w:trPr>
          <w:trHeight w:val="562" w:hRule="exact"/>
        </w:trPr>
        <w:tc>
          <w:tcPr>
            <w:tcW w:w="9635" w:type="dxa"/>
            <w:gridSpan w:val="2"/>
            <w:tcBorders>
              <w:top w:val="single" w:sz="4" w:space="0" w:color="000000"/>
              <w:left w:val="single" w:sz="4" w:space="0" w:color="000000"/>
              <w:bottom w:val="single" w:sz="4" w:space="0" w:color="000000"/>
              <w:right w:val="single" w:sz="4" w:space="0" w:color="000000"/>
            </w:tcBorders>
            <w:shd w:color="auto" w:fill="ADAAAA" w:val="clear"/>
          </w:tcPr>
          <w:p>
            <w:pPr>
              <w:pStyle w:val="Normal"/>
              <w:widowControl w:val="false"/>
              <w:spacing w:lineRule="exact" w:line="274" w:before="0" w:after="0"/>
              <w:ind w:right="3686" w:hanging="0"/>
              <w:rPr>
                <w:rFonts w:ascii="Times New Roman" w:hAnsi="Times New Roman" w:cs="Times New Roman"/>
                <w:b/>
                <w:b/>
                <w:sz w:val="24"/>
                <w:szCs w:val="24"/>
              </w:rPr>
            </w:pPr>
            <w:r>
              <w:rPr>
                <w:rFonts w:cs="Times New Roman" w:ascii="Times New Roman" w:hAnsi="Times New Roman"/>
                <w:b/>
                <w:sz w:val="24"/>
                <w:szCs w:val="24"/>
              </w:rPr>
            </w:r>
          </w:p>
        </w:tc>
      </w:tr>
      <w:tr>
        <w:trPr>
          <w:trHeight w:val="562" w:hRule="exact"/>
        </w:trPr>
        <w:tc>
          <w:tcPr>
            <w:tcW w:w="6659" w:type="dxa"/>
            <w:tcBorders>
              <w:top w:val="single" w:sz="4" w:space="0" w:color="000000"/>
              <w:left w:val="single" w:sz="4" w:space="0" w:color="000000"/>
              <w:bottom w:val="single" w:sz="4" w:space="0" w:color="000000"/>
              <w:right w:val="single" w:sz="4" w:space="0" w:color="000000"/>
            </w:tcBorders>
            <w:shd w:color="auto" w:fill="F1F1F1" w:val="clear"/>
          </w:tcPr>
          <w:p>
            <w:pPr>
              <w:pStyle w:val="ListParagraph"/>
              <w:widowControl w:val="false"/>
              <w:numPr>
                <w:ilvl w:val="0"/>
                <w:numId w:val="1"/>
              </w:numPr>
              <w:spacing w:lineRule="exact" w:line="274" w:before="0" w:after="0"/>
              <w:ind w:left="502" w:right="-20" w:hanging="360"/>
              <w:contextualSpacing/>
              <w:rPr>
                <w:rFonts w:ascii="Times New Roman" w:hAnsi="Times New Roman" w:cs="Times New Roman"/>
                <w:sz w:val="24"/>
                <w:szCs w:val="24"/>
              </w:rPr>
            </w:pPr>
            <w:r>
              <w:rPr>
                <w:rFonts w:cs="Times New Roman" w:ascii="Times New Roman" w:hAnsi="Times New Roman"/>
                <w:b/>
                <w:bCs/>
                <w:sz w:val="24"/>
                <w:szCs w:val="24"/>
              </w:rPr>
              <w:t xml:space="preserve">Titoli </w:t>
            </w:r>
            <w:r>
              <w:rPr>
                <w:rFonts w:cs="Times New Roman" w:ascii="Times New Roman" w:hAnsi="Times New Roman"/>
                <w:b/>
                <w:bCs/>
                <w:spacing w:val="1"/>
                <w:sz w:val="24"/>
                <w:szCs w:val="24"/>
              </w:rPr>
              <w:t>d</w:t>
            </w:r>
            <w:r>
              <w:rPr>
                <w:rFonts w:cs="Times New Roman" w:ascii="Times New Roman" w:hAnsi="Times New Roman"/>
                <w:b/>
                <w:bCs/>
                <w:sz w:val="24"/>
                <w:szCs w:val="24"/>
              </w:rPr>
              <w:t>i st</w:t>
            </w:r>
            <w:r>
              <w:rPr>
                <w:rFonts w:cs="Times New Roman" w:ascii="Times New Roman" w:hAnsi="Times New Roman"/>
                <w:b/>
                <w:bCs/>
                <w:spacing w:val="-2"/>
                <w:sz w:val="24"/>
                <w:szCs w:val="24"/>
              </w:rPr>
              <w:t>u</w:t>
            </w:r>
            <w:r>
              <w:rPr>
                <w:rFonts w:cs="Times New Roman" w:ascii="Times New Roman" w:hAnsi="Times New Roman"/>
                <w:b/>
                <w:bCs/>
                <w:spacing w:val="1"/>
                <w:sz w:val="24"/>
                <w:szCs w:val="24"/>
              </w:rPr>
              <w:t>d</w:t>
            </w:r>
            <w:r>
              <w:rPr>
                <w:rFonts w:cs="Times New Roman" w:ascii="Times New Roman" w:hAnsi="Times New Roman"/>
                <w:b/>
                <w:bCs/>
                <w:sz w:val="24"/>
                <w:szCs w:val="24"/>
              </w:rPr>
              <w:t xml:space="preserve">io e </w:t>
            </w:r>
            <w:r>
              <w:rPr>
                <w:rFonts w:cs="Times New Roman" w:ascii="Times New Roman" w:hAnsi="Times New Roman"/>
                <w:b/>
                <w:bCs/>
                <w:spacing w:val="1"/>
                <w:sz w:val="24"/>
                <w:szCs w:val="24"/>
              </w:rPr>
              <w:t>d</w:t>
            </w:r>
            <w:r>
              <w:rPr>
                <w:rFonts w:cs="Times New Roman" w:ascii="Times New Roman" w:hAnsi="Times New Roman"/>
                <w:b/>
                <w:bCs/>
                <w:sz w:val="24"/>
                <w:szCs w:val="24"/>
              </w:rPr>
              <w:t xml:space="preserve">i </w:t>
            </w:r>
            <w:r>
              <w:rPr>
                <w:rFonts w:cs="Times New Roman" w:ascii="Times New Roman" w:hAnsi="Times New Roman"/>
                <w:b/>
                <w:bCs/>
                <w:spacing w:val="1"/>
                <w:sz w:val="24"/>
                <w:szCs w:val="24"/>
              </w:rPr>
              <w:t>f</w:t>
            </w:r>
            <w:r>
              <w:rPr>
                <w:rFonts w:cs="Times New Roman" w:ascii="Times New Roman" w:hAnsi="Times New Roman"/>
                <w:b/>
                <w:bCs/>
                <w:sz w:val="24"/>
                <w:szCs w:val="24"/>
              </w:rPr>
              <w:t>o</w:t>
            </w:r>
            <w:r>
              <w:rPr>
                <w:rFonts w:cs="Times New Roman" w:ascii="Times New Roman" w:hAnsi="Times New Roman"/>
                <w:b/>
                <w:bCs/>
                <w:spacing w:val="-1"/>
                <w:sz w:val="24"/>
                <w:szCs w:val="24"/>
              </w:rPr>
              <w:t>r</w:t>
            </w:r>
            <w:r>
              <w:rPr>
                <w:rFonts w:cs="Times New Roman" w:ascii="Times New Roman" w:hAnsi="Times New Roman"/>
                <w:b/>
                <w:bCs/>
                <w:spacing w:val="-3"/>
                <w:sz w:val="24"/>
                <w:szCs w:val="24"/>
              </w:rPr>
              <w:t>m</w:t>
            </w:r>
            <w:r>
              <w:rPr>
                <w:rFonts w:cs="Times New Roman" w:ascii="Times New Roman" w:hAnsi="Times New Roman"/>
                <w:b/>
                <w:bCs/>
                <w:spacing w:val="2"/>
                <w:sz w:val="24"/>
                <w:szCs w:val="24"/>
              </w:rPr>
              <w:t>a</w:t>
            </w:r>
            <w:r>
              <w:rPr>
                <w:rFonts w:cs="Times New Roman" w:ascii="Times New Roman" w:hAnsi="Times New Roman"/>
                <w:b/>
                <w:bCs/>
                <w:spacing w:val="-1"/>
                <w:sz w:val="24"/>
                <w:szCs w:val="24"/>
              </w:rPr>
              <w:t>z</w:t>
            </w:r>
            <w:r>
              <w:rPr>
                <w:rFonts w:cs="Times New Roman" w:ascii="Times New Roman" w:hAnsi="Times New Roman"/>
                <w:b/>
                <w:bCs/>
                <w:sz w:val="24"/>
                <w:szCs w:val="24"/>
              </w:rPr>
              <w:t>io</w:t>
            </w:r>
            <w:r>
              <w:rPr>
                <w:rFonts w:cs="Times New Roman" w:ascii="Times New Roman" w:hAnsi="Times New Roman"/>
                <w:b/>
                <w:bCs/>
                <w:spacing w:val="1"/>
                <w:sz w:val="24"/>
                <w:szCs w:val="24"/>
              </w:rPr>
              <w:t>n</w:t>
            </w:r>
            <w:r>
              <w:rPr>
                <w:rFonts w:cs="Times New Roman" w:ascii="Times New Roman" w:hAnsi="Times New Roman"/>
                <w:b/>
                <w:bCs/>
                <w:sz w:val="24"/>
                <w:szCs w:val="24"/>
              </w:rPr>
              <w:t>e</w:t>
            </w:r>
          </w:p>
        </w:tc>
        <w:tc>
          <w:tcPr>
            <w:tcW w:w="2976" w:type="dxa"/>
            <w:tcBorders>
              <w:top w:val="single" w:sz="4" w:space="0" w:color="000000"/>
              <w:left w:val="single" w:sz="4" w:space="0" w:color="000000"/>
              <w:bottom w:val="single" w:sz="4" w:space="0" w:color="000000"/>
              <w:right w:val="single" w:sz="4" w:space="0" w:color="000000"/>
            </w:tcBorders>
            <w:shd w:color="auto" w:fill="F1F1F1" w:val="clear"/>
          </w:tcPr>
          <w:p>
            <w:pPr>
              <w:pStyle w:val="Normal"/>
              <w:widowControl w:val="false"/>
              <w:spacing w:lineRule="exact" w:line="274" w:before="0" w:after="0"/>
              <w:ind w:left="105" w:right="-20" w:hanging="0"/>
              <w:rPr>
                <w:rFonts w:ascii="Times New Roman" w:hAnsi="Times New Roman" w:cs="Times New Roman"/>
                <w:sz w:val="24"/>
                <w:szCs w:val="24"/>
              </w:rPr>
            </w:pPr>
            <w:r>
              <w:rPr>
                <w:rFonts w:cs="Times New Roman" w:ascii="Times New Roman" w:hAnsi="Times New Roman"/>
                <w:b/>
                <w:bCs/>
                <w:spacing w:val="-3"/>
                <w:sz w:val="24"/>
                <w:szCs w:val="24"/>
              </w:rPr>
              <w:t>P</w:t>
            </w:r>
            <w:r>
              <w:rPr>
                <w:rFonts w:cs="Times New Roman" w:ascii="Times New Roman" w:hAnsi="Times New Roman"/>
                <w:b/>
                <w:bCs/>
                <w:spacing w:val="1"/>
                <w:sz w:val="24"/>
                <w:szCs w:val="24"/>
              </w:rPr>
              <w:t>un</w:t>
            </w:r>
            <w:r>
              <w:rPr>
                <w:rFonts w:cs="Times New Roman" w:ascii="Times New Roman" w:hAnsi="Times New Roman"/>
                <w:b/>
                <w:bCs/>
                <w:sz w:val="24"/>
                <w:szCs w:val="24"/>
              </w:rPr>
              <w:t xml:space="preserve">ti </w:t>
            </w:r>
            <w:r>
              <w:rPr>
                <w:rFonts w:cs="Times New Roman" w:ascii="Times New Roman" w:hAnsi="Times New Roman"/>
                <w:b/>
                <w:bCs/>
                <w:spacing w:val="-3"/>
                <w:sz w:val="24"/>
                <w:szCs w:val="24"/>
              </w:rPr>
              <w:t>m</w:t>
            </w:r>
            <w:r>
              <w:rPr>
                <w:rFonts w:cs="Times New Roman" w:ascii="Times New Roman" w:hAnsi="Times New Roman"/>
                <w:b/>
                <w:bCs/>
                <w:sz w:val="24"/>
                <w:szCs w:val="24"/>
              </w:rPr>
              <w:t>ax 5</w:t>
            </w:r>
          </w:p>
        </w:tc>
      </w:tr>
      <w:tr>
        <w:trPr>
          <w:trHeight w:val="3001"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pacing w:val="-3"/>
                <w:sz w:val="24"/>
                <w:szCs w:val="24"/>
              </w:rPr>
              <w:t>L</w:t>
            </w:r>
            <w:r>
              <w:rPr>
                <w:rFonts w:cs="Times New Roman" w:ascii="Times New Roman" w:hAnsi="Times New Roman"/>
                <w:spacing w:val="-1"/>
                <w:sz w:val="24"/>
                <w:szCs w:val="24"/>
              </w:rPr>
              <w:t>a</w:t>
            </w:r>
            <w:r>
              <w:rPr>
                <w:rFonts w:cs="Times New Roman" w:ascii="Times New Roman" w:hAnsi="Times New Roman"/>
                <w:spacing w:val="2"/>
                <w:sz w:val="24"/>
                <w:szCs w:val="24"/>
              </w:rPr>
              <w:t>u</w:t>
            </w:r>
            <w:r>
              <w:rPr>
                <w:rFonts w:cs="Times New Roman" w:ascii="Times New Roman" w:hAnsi="Times New Roman"/>
                <w:sz w:val="24"/>
                <w:szCs w:val="24"/>
              </w:rPr>
              <w:t>rea in in</w:t>
            </w:r>
            <w:r>
              <w:rPr>
                <w:rFonts w:cs="Times New Roman" w:ascii="Times New Roman" w:hAnsi="Times New Roman"/>
                <w:spacing w:val="-2"/>
                <w:sz w:val="24"/>
                <w:szCs w:val="24"/>
              </w:rPr>
              <w:t>g</w:t>
            </w:r>
            <w:r>
              <w:rPr>
                <w:rFonts w:cs="Times New Roman" w:ascii="Times New Roman" w:hAnsi="Times New Roman"/>
                <w:spacing w:val="1"/>
                <w:sz w:val="24"/>
                <w:szCs w:val="24"/>
              </w:rPr>
              <w:t>e</w:t>
            </w:r>
            <w:r>
              <w:rPr>
                <w:rFonts w:cs="Times New Roman" w:ascii="Times New Roman" w:hAnsi="Times New Roman"/>
                <w:spacing w:val="-2"/>
                <w:sz w:val="24"/>
                <w:szCs w:val="24"/>
              </w:rPr>
              <w:t>g</w:t>
            </w:r>
            <w:r>
              <w:rPr>
                <w:rFonts w:cs="Times New Roman" w:ascii="Times New Roman" w:hAnsi="Times New Roman"/>
                <w:spacing w:val="2"/>
                <w:sz w:val="24"/>
                <w:szCs w:val="24"/>
              </w:rPr>
              <w:t>n</w:t>
            </w:r>
            <w:r>
              <w:rPr>
                <w:rFonts w:cs="Times New Roman" w:ascii="Times New Roman" w:hAnsi="Times New Roman"/>
                <w:spacing w:val="-1"/>
                <w:sz w:val="24"/>
                <w:szCs w:val="24"/>
              </w:rPr>
              <w:t>e</w:t>
            </w:r>
            <w:r>
              <w:rPr>
                <w:rFonts w:cs="Times New Roman" w:ascii="Times New Roman" w:hAnsi="Times New Roman"/>
                <w:sz w:val="24"/>
                <w:szCs w:val="24"/>
              </w:rPr>
              <w:t xml:space="preserve">ria </w:t>
            </w:r>
            <w:r>
              <w:rPr>
                <w:rFonts w:cs="Times New Roman" w:ascii="Times New Roman" w:hAnsi="Times New Roman"/>
                <w:spacing w:val="-1"/>
                <w:sz w:val="24"/>
                <w:szCs w:val="24"/>
              </w:rPr>
              <w:t>c</w:t>
            </w:r>
            <w:r>
              <w:rPr>
                <w:rFonts w:cs="Times New Roman" w:ascii="Times New Roman" w:hAnsi="Times New Roman"/>
                <w:sz w:val="24"/>
                <w:szCs w:val="24"/>
              </w:rPr>
              <w:t>iv</w:t>
            </w:r>
            <w:r>
              <w:rPr>
                <w:rFonts w:cs="Times New Roman" w:ascii="Times New Roman" w:hAnsi="Times New Roman"/>
                <w:spacing w:val="1"/>
                <w:sz w:val="24"/>
                <w:szCs w:val="24"/>
              </w:rPr>
              <w:t>i</w:t>
            </w:r>
            <w:r>
              <w:rPr>
                <w:rFonts w:cs="Times New Roman" w:ascii="Times New Roman" w:hAnsi="Times New Roman"/>
                <w:sz w:val="24"/>
                <w:szCs w:val="24"/>
              </w:rPr>
              <w:t>le e/o architettura v</w:t>
            </w:r>
            <w:r>
              <w:rPr>
                <w:rFonts w:cs="Times New Roman" w:ascii="Times New Roman" w:hAnsi="Times New Roman"/>
                <w:spacing w:val="-1"/>
                <w:sz w:val="24"/>
                <w:szCs w:val="24"/>
              </w:rPr>
              <w:t>e</w:t>
            </w:r>
            <w:r>
              <w:rPr>
                <w:rFonts w:cs="Times New Roman" w:ascii="Times New Roman" w:hAnsi="Times New Roman"/>
                <w:spacing w:val="1"/>
                <w:sz w:val="24"/>
                <w:szCs w:val="24"/>
              </w:rPr>
              <w:t>c</w:t>
            </w:r>
            <w:r>
              <w:rPr>
                <w:rFonts w:cs="Times New Roman" w:ascii="Times New Roman" w:hAnsi="Times New Roman"/>
                <w:spacing w:val="-1"/>
                <w:sz w:val="24"/>
                <w:szCs w:val="24"/>
              </w:rPr>
              <w:t>c</w:t>
            </w:r>
            <w:r>
              <w:rPr>
                <w:rFonts w:cs="Times New Roman" w:ascii="Times New Roman" w:hAnsi="Times New Roman"/>
                <w:sz w:val="24"/>
                <w:szCs w:val="24"/>
              </w:rPr>
              <w:t>hio ordin</w:t>
            </w:r>
            <w:r>
              <w:rPr>
                <w:rFonts w:cs="Times New Roman" w:ascii="Times New Roman" w:hAnsi="Times New Roman"/>
                <w:spacing w:val="-1"/>
                <w:sz w:val="24"/>
                <w:szCs w:val="24"/>
              </w:rPr>
              <w:t>a</w:t>
            </w:r>
            <w:r>
              <w:rPr>
                <w:rFonts w:cs="Times New Roman" w:ascii="Times New Roman" w:hAnsi="Times New Roman"/>
                <w:sz w:val="24"/>
                <w:szCs w:val="24"/>
              </w:rPr>
              <w:t>mento o</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Equipollente o Laurea Ma</w:t>
            </w:r>
            <w:r>
              <w:rPr>
                <w:rFonts w:cs="Times New Roman" w:ascii="Times New Roman" w:hAnsi="Times New Roman"/>
                <w:spacing w:val="-3"/>
                <w:sz w:val="24"/>
                <w:szCs w:val="24"/>
              </w:rPr>
              <w:t>g</w:t>
            </w:r>
            <w:r>
              <w:rPr>
                <w:rFonts w:cs="Times New Roman" w:ascii="Times New Roman" w:hAnsi="Times New Roman"/>
                <w:sz w:val="24"/>
                <w:szCs w:val="24"/>
              </w:rPr>
              <w:t>is</w:t>
            </w:r>
            <w:r>
              <w:rPr>
                <w:rFonts w:cs="Times New Roman" w:ascii="Times New Roman" w:hAnsi="Times New Roman"/>
                <w:spacing w:val="1"/>
                <w:sz w:val="24"/>
                <w:szCs w:val="24"/>
              </w:rPr>
              <w:t>t</w:t>
            </w:r>
            <w:r>
              <w:rPr>
                <w:rFonts w:cs="Times New Roman" w:ascii="Times New Roman" w:hAnsi="Times New Roman"/>
                <w:sz w:val="24"/>
                <w:szCs w:val="24"/>
              </w:rPr>
              <w:t>r</w:t>
            </w:r>
            <w:r>
              <w:rPr>
                <w:rFonts w:cs="Times New Roman" w:ascii="Times New Roman" w:hAnsi="Times New Roman"/>
                <w:spacing w:val="-2"/>
                <w:sz w:val="24"/>
                <w:szCs w:val="24"/>
              </w:rPr>
              <w:t>a</w:t>
            </w:r>
            <w:r>
              <w:rPr>
                <w:rFonts w:cs="Times New Roman" w:ascii="Times New Roman" w:hAnsi="Times New Roman"/>
                <w:spacing w:val="3"/>
                <w:sz w:val="24"/>
                <w:szCs w:val="24"/>
              </w:rPr>
              <w:t>l</w:t>
            </w:r>
            <w:r>
              <w:rPr>
                <w:rFonts w:cs="Times New Roman" w:ascii="Times New Roman" w:hAnsi="Times New Roman"/>
                <w:sz w:val="24"/>
                <w:szCs w:val="24"/>
              </w:rPr>
              <w:t>e o sp</w:t>
            </w:r>
            <w:r>
              <w:rPr>
                <w:rFonts w:cs="Times New Roman" w:ascii="Times New Roman" w:hAnsi="Times New Roman"/>
                <w:spacing w:val="-1"/>
                <w:sz w:val="24"/>
                <w:szCs w:val="24"/>
              </w:rPr>
              <w:t>ec</w:t>
            </w:r>
            <w:r>
              <w:rPr>
                <w:rFonts w:cs="Times New Roman" w:ascii="Times New Roman" w:hAnsi="Times New Roman"/>
                <w:sz w:val="24"/>
                <w:szCs w:val="24"/>
              </w:rPr>
              <w:t>ialis</w:t>
            </w:r>
            <w:r>
              <w:rPr>
                <w:rFonts w:cs="Times New Roman" w:ascii="Times New Roman" w:hAnsi="Times New Roman"/>
                <w:spacing w:val="1"/>
                <w:sz w:val="24"/>
                <w:szCs w:val="24"/>
              </w:rPr>
              <w:t>t</w:t>
            </w:r>
            <w:r>
              <w:rPr>
                <w:rFonts w:cs="Times New Roman" w:ascii="Times New Roman" w:hAnsi="Times New Roman"/>
                <w:sz w:val="24"/>
                <w:szCs w:val="24"/>
              </w:rPr>
              <w:t>ica (</w:t>
            </w:r>
            <w:r>
              <w:rPr>
                <w:rFonts w:cs="Times New Roman" w:ascii="Times New Roman" w:hAnsi="Times New Roman"/>
                <w:spacing w:val="1"/>
                <w:sz w:val="24"/>
                <w:szCs w:val="24"/>
              </w:rPr>
              <w:t>D</w:t>
            </w:r>
            <w:r>
              <w:rPr>
                <w:rFonts w:cs="Times New Roman" w:ascii="Times New Roman" w:hAnsi="Times New Roman"/>
                <w:spacing w:val="-3"/>
                <w:sz w:val="24"/>
                <w:szCs w:val="24"/>
              </w:rPr>
              <w:t>L</w:t>
            </w:r>
            <w:r>
              <w:rPr>
                <w:rFonts w:cs="Times New Roman" w:ascii="Times New Roman" w:hAnsi="Times New Roman"/>
                <w:sz w:val="24"/>
                <w:szCs w:val="24"/>
              </w:rPr>
              <w:t>,</w:t>
            </w:r>
            <w:r>
              <w:rPr>
                <w:rFonts w:cs="Times New Roman" w:ascii="Times New Roman" w:hAnsi="Times New Roman"/>
                <w:spacing w:val="-3"/>
                <w:sz w:val="24"/>
                <w:szCs w:val="24"/>
              </w:rPr>
              <w:t>L</w:t>
            </w:r>
            <w:r>
              <w:rPr>
                <w:rFonts w:cs="Times New Roman" w:ascii="Times New Roman" w:hAnsi="Times New Roman"/>
                <w:sz w:val="24"/>
                <w:szCs w:val="24"/>
              </w:rPr>
              <w:t>M,</w:t>
            </w:r>
            <w:r>
              <w:rPr>
                <w:rFonts w:cs="Times New Roman" w:ascii="Times New Roman" w:hAnsi="Times New Roman"/>
                <w:spacing w:val="-5"/>
                <w:sz w:val="24"/>
                <w:szCs w:val="24"/>
              </w:rPr>
              <w:t>L</w:t>
            </w:r>
            <w:r>
              <w:rPr>
                <w:rFonts w:cs="Times New Roman" w:ascii="Times New Roman" w:hAnsi="Times New Roman"/>
                <w:sz w:val="24"/>
                <w:szCs w:val="24"/>
              </w:rPr>
              <w:t xml:space="preserve">S </w:t>
            </w:r>
            <w:r>
              <w:rPr>
                <w:rFonts w:cs="Times New Roman" w:ascii="Times New Roman" w:hAnsi="Times New Roman"/>
                <w:spacing w:val="-1"/>
                <w:sz w:val="24"/>
                <w:szCs w:val="24"/>
              </w:rPr>
              <w:t>e</w:t>
            </w:r>
            <w:r>
              <w:rPr>
                <w:rFonts w:cs="Times New Roman" w:ascii="Times New Roman" w:hAnsi="Times New Roman"/>
                <w:sz w:val="24"/>
                <w:szCs w:val="24"/>
              </w:rPr>
              <w:t>s</w:t>
            </w:r>
            <w:r>
              <w:rPr>
                <w:rFonts w:cs="Times New Roman" w:ascii="Times New Roman" w:hAnsi="Times New Roman"/>
                <w:spacing w:val="-1"/>
                <w:sz w:val="24"/>
                <w:szCs w:val="24"/>
              </w:rPr>
              <w:t>c</w:t>
            </w:r>
            <w:r>
              <w:rPr>
                <w:rFonts w:cs="Times New Roman" w:ascii="Times New Roman" w:hAnsi="Times New Roman"/>
                <w:sz w:val="24"/>
                <w:szCs w:val="24"/>
              </w:rPr>
              <w:t>lusa q</w:t>
            </w:r>
            <w:r>
              <w:rPr>
                <w:rFonts w:cs="Times New Roman" w:ascii="Times New Roman" w:hAnsi="Times New Roman"/>
                <w:spacing w:val="2"/>
                <w:sz w:val="24"/>
                <w:szCs w:val="24"/>
              </w:rPr>
              <w:t>u</w:t>
            </w:r>
            <w:r>
              <w:rPr>
                <w:rFonts w:cs="Times New Roman" w:ascii="Times New Roman" w:hAnsi="Times New Roman"/>
                <w:spacing w:val="-1"/>
                <w:sz w:val="24"/>
                <w:szCs w:val="24"/>
              </w:rPr>
              <w:t>e</w:t>
            </w:r>
            <w:r>
              <w:rPr>
                <w:rFonts w:cs="Times New Roman" w:ascii="Times New Roman" w:hAnsi="Times New Roman"/>
                <w:sz w:val="24"/>
                <w:szCs w:val="24"/>
              </w:rPr>
              <w:t>l</w:t>
            </w:r>
            <w:r>
              <w:rPr>
                <w:rFonts w:cs="Times New Roman" w:ascii="Times New Roman" w:hAnsi="Times New Roman"/>
                <w:spacing w:val="1"/>
                <w:sz w:val="24"/>
                <w:szCs w:val="24"/>
              </w:rPr>
              <w:t>l</w:t>
            </w:r>
            <w:r>
              <w:rPr>
                <w:rFonts w:cs="Times New Roman" w:ascii="Times New Roman" w:hAnsi="Times New Roman"/>
                <w:sz w:val="24"/>
                <w:szCs w:val="24"/>
              </w:rPr>
              <w:t>a tri</w:t>
            </w:r>
            <w:r>
              <w:rPr>
                <w:rFonts w:cs="Times New Roman" w:ascii="Times New Roman" w:hAnsi="Times New Roman"/>
                <w:spacing w:val="-1"/>
                <w:sz w:val="24"/>
                <w:szCs w:val="24"/>
              </w:rPr>
              <w:t>e</w:t>
            </w:r>
            <w:r>
              <w:rPr>
                <w:rFonts w:cs="Times New Roman" w:ascii="Times New Roman" w:hAnsi="Times New Roman"/>
                <w:sz w:val="24"/>
                <w:szCs w:val="24"/>
              </w:rPr>
              <w:t>nn</w:t>
            </w:r>
            <w:r>
              <w:rPr>
                <w:rFonts w:cs="Times New Roman" w:ascii="Times New Roman" w:hAnsi="Times New Roman"/>
                <w:spacing w:val="-1"/>
                <w:sz w:val="24"/>
                <w:szCs w:val="24"/>
              </w:rPr>
              <w:t>a</w:t>
            </w:r>
            <w:r>
              <w:rPr>
                <w:rFonts w:cs="Times New Roman" w:ascii="Times New Roman" w:hAnsi="Times New Roman"/>
                <w:sz w:val="24"/>
                <w:szCs w:val="24"/>
              </w:rPr>
              <w:t>le)</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Voto conseguito:</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Da 100 a 105 punti</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Da 106 a 110</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110 e lode</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ulteriore titolo di studio (Laurea specialistica o Magistrale o Laurea</w:t>
            </w:r>
            <w:r>
              <w:rPr>
                <w:sz w:val="24"/>
                <w:szCs w:val="24"/>
              </w:rPr>
              <w:t xml:space="preserve"> </w:t>
            </w:r>
            <w:r>
              <w:rPr>
                <w:rFonts w:cs="Times New Roman" w:ascii="Times New Roman" w:hAnsi="Times New Roman"/>
                <w:sz w:val="24"/>
                <w:szCs w:val="24"/>
              </w:rPr>
              <w:t>a ciclo unico)</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0,5</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0,75</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1</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0,25</w:t>
            </w:r>
          </w:p>
        </w:tc>
      </w:tr>
      <w:tr>
        <w:trPr>
          <w:trHeight w:val="838"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65" w:right="-20" w:hanging="0"/>
              <w:rPr>
                <w:rFonts w:ascii="Times New Roman" w:hAnsi="Times New Roman" w:cs="Times New Roman"/>
                <w:sz w:val="24"/>
                <w:szCs w:val="24"/>
              </w:rPr>
            </w:pPr>
            <w:r>
              <w:rPr>
                <w:rFonts w:cs="Times New Roman" w:ascii="Times New Roman" w:hAnsi="Times New Roman"/>
                <w:sz w:val="24"/>
                <w:szCs w:val="24"/>
              </w:rPr>
              <w:t>Master universitario di primo livello nelle materie/attività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z w:val="24"/>
                <w:szCs w:val="24"/>
              </w:rPr>
            </w:pPr>
            <w:r>
              <w:rPr>
                <w:rFonts w:cs="Times New Roman" w:ascii="Times New Roman" w:hAnsi="Times New Roman"/>
                <w:spacing w:val="1"/>
                <w:sz w:val="24"/>
                <w:szCs w:val="24"/>
              </w:rPr>
              <w:t>P</w:t>
            </w:r>
            <w:r>
              <w:rPr>
                <w:rFonts w:cs="Times New Roman" w:ascii="Times New Roman" w:hAnsi="Times New Roman"/>
                <w:sz w:val="24"/>
                <w:szCs w:val="24"/>
              </w:rPr>
              <w:t>unti 0,75</w:t>
            </w:r>
          </w:p>
        </w:tc>
      </w:tr>
      <w:tr>
        <w:trPr>
          <w:trHeight w:val="838"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65" w:right="-20" w:hanging="0"/>
              <w:rPr>
                <w:rFonts w:ascii="Times New Roman" w:hAnsi="Times New Roman" w:cs="Times New Roman"/>
                <w:sz w:val="24"/>
                <w:szCs w:val="24"/>
              </w:rPr>
            </w:pPr>
            <w:r>
              <w:rPr>
                <w:rFonts w:cs="Times New Roman" w:ascii="Times New Roman" w:hAnsi="Times New Roman"/>
                <w:sz w:val="24"/>
                <w:szCs w:val="24"/>
              </w:rPr>
              <w:t>Master universitario di secondo livello nelle materie/attività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pacing w:val="1"/>
                <w:sz w:val="24"/>
                <w:szCs w:val="24"/>
              </w:rPr>
            </w:pPr>
            <w:r>
              <w:rPr>
                <w:rFonts w:cs="Times New Roman" w:ascii="Times New Roman" w:hAnsi="Times New Roman"/>
                <w:spacing w:val="1"/>
                <w:sz w:val="24"/>
                <w:szCs w:val="24"/>
              </w:rPr>
              <w:t>Punto 1</w:t>
            </w:r>
          </w:p>
        </w:tc>
      </w:tr>
      <w:tr>
        <w:trPr>
          <w:trHeight w:val="1026"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05" w:right="38" w:hanging="0"/>
              <w:rPr>
                <w:rFonts w:ascii="Times New Roman" w:hAnsi="Times New Roman" w:cs="Times New Roman"/>
                <w:sz w:val="24"/>
                <w:szCs w:val="24"/>
              </w:rPr>
            </w:pPr>
            <w:r>
              <w:rPr>
                <w:rFonts w:cs="Times New Roman" w:ascii="Times New Roman" w:hAnsi="Times New Roman"/>
                <w:sz w:val="24"/>
                <w:szCs w:val="24"/>
              </w:rPr>
              <w:t>Corsi di specializzazione nelle materie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z w:val="24"/>
                <w:szCs w:val="24"/>
              </w:rPr>
            </w:pPr>
            <w:r>
              <w:rPr>
                <w:rFonts w:cs="Times New Roman" w:ascii="Times New Roman" w:hAnsi="Times New Roman"/>
                <w:spacing w:val="1"/>
                <w:sz w:val="24"/>
                <w:szCs w:val="24"/>
              </w:rPr>
              <w:t>P</w:t>
            </w:r>
            <w:r>
              <w:rPr>
                <w:rFonts w:cs="Times New Roman" w:ascii="Times New Roman" w:hAnsi="Times New Roman"/>
                <w:sz w:val="24"/>
                <w:szCs w:val="24"/>
              </w:rPr>
              <w:t>unti 1,5</w:t>
            </w:r>
          </w:p>
        </w:tc>
      </w:tr>
      <w:tr>
        <w:trPr>
          <w:trHeight w:val="714"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05" w:right="38" w:hanging="0"/>
              <w:rPr>
                <w:rFonts w:ascii="Times New Roman" w:hAnsi="Times New Roman" w:cs="Times New Roman"/>
                <w:sz w:val="24"/>
                <w:szCs w:val="24"/>
              </w:rPr>
            </w:pPr>
            <w:r>
              <w:rPr>
                <w:rFonts w:cs="Times New Roman" w:ascii="Times New Roman" w:hAnsi="Times New Roman"/>
                <w:sz w:val="24"/>
                <w:szCs w:val="24"/>
              </w:rPr>
              <w:t>Dottorato di ricerca nelle materie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pacing w:val="1"/>
                <w:sz w:val="24"/>
                <w:szCs w:val="24"/>
              </w:rPr>
            </w:pPr>
            <w:r>
              <w:rPr>
                <w:rFonts w:cs="Times New Roman" w:ascii="Times New Roman" w:hAnsi="Times New Roman"/>
                <w:spacing w:val="1"/>
                <w:sz w:val="24"/>
                <w:szCs w:val="24"/>
              </w:rPr>
              <w:t>Punti 1,5</w:t>
            </w:r>
          </w:p>
        </w:tc>
      </w:tr>
    </w:tbl>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B)Esperienze lavorative e titoli di servizio (max 12 punti)</w:t>
      </w:r>
    </w:p>
    <w:p>
      <w:pPr>
        <w:pStyle w:val="Default"/>
        <w:jc w:val="both"/>
        <w:rPr/>
      </w:pPr>
      <w:r>
        <w:rPr/>
        <w:t xml:space="preserve">Saranno valutate le esperienze lavorative maturate nell’ambito dell’attività professionale autonoma e i titoli di servizio espletati nelle funzioni afferenti la posizione professionale messa a selezione, con rapporto di lavoro subordinato a tempo determinato o indeterminato, pieno o parziale, alle dirette dipendenze di pubbliche amministrazioni. </w:t>
      </w:r>
    </w:p>
    <w:p>
      <w:pPr>
        <w:pStyle w:val="Default"/>
        <w:jc w:val="both"/>
        <w:rPr/>
      </w:pPr>
      <w:r>
        <w:rPr>
          <w:b/>
          <w:bCs/>
        </w:rPr>
        <w:t xml:space="preserve">a) I punti i per i titoli di servizio saranno attributi come segue: </w:t>
      </w:r>
    </w:p>
    <w:p>
      <w:pPr>
        <w:pStyle w:val="Default"/>
        <w:ind w:left="465" w:hanging="0"/>
        <w:jc w:val="both"/>
        <w:rPr/>
      </w:pPr>
      <w:r>
        <w:rPr/>
      </w:r>
    </w:p>
    <w:p>
      <w:pPr>
        <w:pStyle w:val="Default"/>
        <w:jc w:val="both"/>
        <w:rPr/>
      </w:pPr>
      <w:r>
        <w:rPr/>
        <w:t xml:space="preserve">a.1 – Servizio prestato nella pubblica amministrazione con inquadramento nella qualifica dirigenziale nelle funzioni e attività della posizione messa a selezione con rapporto di lavoro a tempo indeterminato o determinato: </w:t>
      </w:r>
      <w:r>
        <w:rPr>
          <w:b/>
          <w:bCs/>
        </w:rPr>
        <w:t xml:space="preserve">Punti 0,20 per ogni mese o frazione superiore a 15 giorni; </w:t>
      </w:r>
    </w:p>
    <w:p>
      <w:pPr>
        <w:pStyle w:val="Default"/>
        <w:jc w:val="both"/>
        <w:rPr/>
      </w:pPr>
      <w:r>
        <w:rPr/>
        <w:t xml:space="preserve">a.2 – Servizio prestato nella pubblica amministrazione con inquadramento nella categoria direttiva con funzioni dirigenziali (Incarico di posizione organizzativa) nelle funzioni e attività della posizione messa a selezione con rapporto di lavoro a tempo indeterminato o determinato: </w:t>
      </w:r>
      <w:r>
        <w:rPr>
          <w:b/>
          <w:bCs/>
        </w:rPr>
        <w:t xml:space="preserve">Punti 0,15 per ogni mese o frazione superiore a 15 giorni; </w:t>
      </w:r>
    </w:p>
    <w:p>
      <w:pPr>
        <w:pStyle w:val="Default"/>
        <w:jc w:val="both"/>
        <w:rPr/>
      </w:pPr>
      <w:r>
        <w:rPr/>
        <w:t xml:space="preserve">a.3 – Servizio prestato nella pubblica amministrazione con inquadramento nella categoria direttiva nelle funzioni e attività della posizione messa a selezione con rapporto di lavoro a tempo indeterminato o determinato: </w:t>
      </w:r>
      <w:r>
        <w:rPr>
          <w:b/>
          <w:bCs/>
        </w:rPr>
        <w:t xml:space="preserve">Punti 0,10 per ogni mese o frazione superiore a 15 giorni; </w:t>
      </w:r>
    </w:p>
    <w:p>
      <w:pPr>
        <w:pStyle w:val="Default"/>
        <w:jc w:val="both"/>
        <w:rPr/>
      </w:pPr>
      <w:r>
        <w:rPr/>
        <w:t xml:space="preserve">I servizi con orario ridotto saranno valutati con gli stessi criteri, in proporzione. </w:t>
      </w:r>
    </w:p>
    <w:p>
      <w:pPr>
        <w:pStyle w:val="Default"/>
        <w:jc w:val="both"/>
        <w:rPr/>
      </w:pPr>
      <w:r>
        <w:rPr/>
      </w:r>
    </w:p>
    <w:p>
      <w:pPr>
        <w:pStyle w:val="Default"/>
        <w:jc w:val="both"/>
        <w:rPr/>
      </w:pPr>
      <w:r>
        <w:rPr/>
        <w:t xml:space="preserve">b) </w:t>
      </w:r>
      <w:r>
        <w:rPr>
          <w:b/>
        </w:rPr>
        <w:t>Attività professionale autonoma, di consulenza professionale e di studio</w:t>
      </w:r>
      <w:r>
        <w:rPr/>
        <w:t xml:space="preserve">. </w:t>
      </w:r>
    </w:p>
    <w:p>
      <w:pPr>
        <w:pStyle w:val="Default"/>
        <w:jc w:val="both"/>
        <w:rPr>
          <w:iCs/>
          <w:sz w:val="22"/>
          <w:szCs w:val="22"/>
        </w:rPr>
      </w:pPr>
      <w:r>
        <w:rPr>
          <w:iCs/>
          <w:sz w:val="22"/>
          <w:szCs w:val="22"/>
        </w:rPr>
      </w:r>
    </w:p>
    <w:p>
      <w:pPr>
        <w:pStyle w:val="Default"/>
        <w:jc w:val="both"/>
        <w:rPr/>
      </w:pPr>
      <w:r>
        <w:rPr>
          <w:bCs/>
        </w:rPr>
        <w:t>b.1 –</w:t>
      </w:r>
      <w:r>
        <w:rPr>
          <w:b/>
          <w:bCs/>
        </w:rPr>
        <w:t xml:space="preserve"> Punti </w:t>
      </w:r>
      <w:r>
        <w:rPr>
          <w:rFonts w:eastAsia="Calibri"/>
          <w:b/>
          <w:bCs/>
        </w:rPr>
        <w:t xml:space="preserve">0,60 </w:t>
      </w:r>
      <w:r>
        <w:rPr>
          <w:rFonts w:eastAsia="Calibri"/>
        </w:rPr>
        <w:t xml:space="preserve"> per ogni anno di esperienza professionale, attinente al profilo professionale </w:t>
      </w:r>
      <w:r>
        <w:rPr/>
        <w:t>ricercato</w:t>
      </w:r>
      <w:r>
        <w:rPr>
          <w:rFonts w:eastAsia="Calibri"/>
        </w:rPr>
        <w:t>, comprovabile, in fase di verifica dei titoli, a mezzo di contratti di lavoro flessibile (a tempo determinato, di formazione e lavoro, di somministrazione lavoro, contratto di collaborazione, etc.) o  incarichi professionali stipulati con altre pubbliche amministrazioni o con soggetti privati</w:t>
      </w:r>
      <w:r>
        <w:rPr/>
        <w:t>.</w:t>
      </w:r>
    </w:p>
    <w:p>
      <w:pPr>
        <w:pStyle w:val="Normal"/>
        <w:jc w:val="both"/>
        <w:rPr>
          <w:rFonts w:ascii="Times New Roman" w:hAnsi="Times New Roman" w:eastAsia="Calibri" w:cs="Times New Roman"/>
          <w:sz w:val="24"/>
          <w:szCs w:val="24"/>
        </w:rPr>
      </w:pPr>
      <w:r>
        <w:rPr>
          <w:rFonts w:eastAsia="Calibri" w:cs="Times New Roman" w:ascii="Times New Roman" w:hAnsi="Times New Roman"/>
          <w:sz w:val="24"/>
          <w:szCs w:val="24"/>
        </w:rPr>
        <w:t>Per la valutazione dei titoli professionali si applicano i seguenti principi:</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a)</w:t>
      </w:r>
      <w:r>
        <w:rPr>
          <w:rFonts w:eastAsia="Calibri" w:cs="Times New Roman" w:ascii="Times New Roman" w:hAnsi="Times New Roman"/>
          <w:sz w:val="24"/>
          <w:szCs w:val="24"/>
        </w:rPr>
        <w:t xml:space="preserve">il computo degli anni di esperienza professionale è dato dalla somma di tutti i mesi di lavoro anche non continuativi diviso per 12; </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b)</w:t>
      </w:r>
      <w:r>
        <w:rPr>
          <w:rFonts w:eastAsia="Calibri" w:cs="Times New Roman" w:ascii="Times New Roman" w:hAnsi="Times New Roman"/>
          <w:sz w:val="24"/>
          <w:szCs w:val="24"/>
        </w:rPr>
        <w:t>le frazioni di anno sono valutate in ragione mensile e valgono ove superiori a sei mesi, considerando, come mese intero, periodi continuativi di giorni trenta o frazioni superiori a quindici giorni;</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c)</w:t>
      </w:r>
      <w:r>
        <w:rPr>
          <w:rFonts w:eastAsia="Calibri" w:cs="Times New Roman" w:ascii="Times New Roman" w:hAnsi="Times New Roman"/>
          <w:sz w:val="24"/>
          <w:szCs w:val="24"/>
        </w:rPr>
        <w:t>in caso di contemporaneità, i periodi di lavoro in sovrapposizione si contano una sola volta;</w:t>
      </w:r>
    </w:p>
    <w:p>
      <w:pPr>
        <w:pStyle w:val="Standard"/>
        <w:suppressAutoHyphens w:val="false"/>
        <w:jc w:val="both"/>
        <w:rPr>
          <w:rFonts w:eastAsia="Batang, 바탕"/>
          <w:spacing w:val="0"/>
          <w:szCs w:val="24"/>
          <w:lang w:eastAsia="it-IT"/>
        </w:rPr>
      </w:pPr>
      <w:r>
        <w:rPr>
          <w:rFonts w:eastAsia="Calibri"/>
          <w:b/>
          <w:bCs/>
          <w:color w:val="auto"/>
          <w:spacing w:val="0"/>
          <w:szCs w:val="24"/>
          <w:lang w:eastAsia="en-US"/>
        </w:rPr>
        <w:t>d)</w:t>
      </w:r>
      <w:r>
        <w:rPr>
          <w:rFonts w:eastAsia="Calibri"/>
          <w:color w:val="auto"/>
          <w:spacing w:val="0"/>
          <w:szCs w:val="24"/>
          <w:lang w:eastAsia="en-US"/>
        </w:rPr>
        <w:t>qualora non vengano dichiarati gli esatti termini temporali di inizio e fine saranno valutati, in carenza del giorno di inizio o di fine, un solo giorno del mese; in carenza del mese di inizio o di fine, un solo giorno dell’anno.</w:t>
      </w:r>
    </w:p>
    <w:p>
      <w:pPr>
        <w:pStyle w:val="Default"/>
        <w:jc w:val="both"/>
        <w:rPr/>
      </w:pPr>
      <w:r>
        <w:rPr/>
      </w:r>
    </w:p>
    <w:p>
      <w:pPr>
        <w:pStyle w:val="Default"/>
        <w:jc w:val="both"/>
        <w:rPr/>
      </w:pPr>
      <w:r>
        <w:rPr/>
      </w:r>
    </w:p>
    <w:p>
      <w:pPr>
        <w:pStyle w:val="Default"/>
        <w:rPr>
          <w:b/>
          <w:b/>
        </w:rPr>
      </w:pPr>
      <w:r>
        <w:rPr>
          <w:b/>
          <w:bCs/>
        </w:rPr>
        <w:t xml:space="preserve">C. TITOLI VARI (MAX 2 PUNTI) </w:t>
      </w:r>
    </w:p>
    <w:p>
      <w:pPr>
        <w:pStyle w:val="Default"/>
        <w:jc w:val="both"/>
        <w:rPr>
          <w:sz w:val="22"/>
          <w:szCs w:val="22"/>
        </w:rPr>
      </w:pPr>
      <w:r>
        <w:rPr>
          <w:sz w:val="22"/>
          <w:szCs w:val="22"/>
        </w:rPr>
        <w:t xml:space="preserve">Saranno valutati positivamente esclusivamente i titoli attinenti al profilo per il quale si concorre. </w:t>
      </w:r>
    </w:p>
    <w:tbl>
      <w:tblPr>
        <w:tblStyle w:val="Grigliatabella"/>
        <w:tblW w:w="9778" w:type="dxa"/>
        <w:jc w:val="left"/>
        <w:tblInd w:w="0" w:type="dxa"/>
        <w:tblLayout w:type="fixed"/>
        <w:tblCellMar>
          <w:top w:w="0" w:type="dxa"/>
          <w:left w:w="108" w:type="dxa"/>
          <w:bottom w:w="0" w:type="dxa"/>
          <w:right w:w="108" w:type="dxa"/>
        </w:tblCellMar>
        <w:tblLook w:val="04a0"/>
      </w:tblPr>
      <w:tblGrid>
        <w:gridCol w:w="4889"/>
        <w:gridCol w:w="4888"/>
      </w:tblGrid>
      <w:tr>
        <w:trPr/>
        <w:tc>
          <w:tcPr>
            <w:tcW w:w="4889" w:type="dxa"/>
            <w:tcBorders/>
          </w:tcPr>
          <w:p>
            <w:pPr>
              <w:pStyle w:val="Default"/>
              <w:widowControl w:val="false"/>
              <w:suppressAutoHyphens w:val="true"/>
              <w:spacing w:before="0" w:after="0"/>
              <w:jc w:val="both"/>
              <w:rPr>
                <w:b/>
                <w:b/>
                <w:bCs/>
                <w:sz w:val="22"/>
                <w:szCs w:val="22"/>
              </w:rPr>
            </w:pPr>
            <w:r>
              <w:rPr>
                <w:rFonts w:eastAsia="Calibri"/>
                <w:b/>
                <w:bCs/>
                <w:kern w:val="0"/>
                <w:sz w:val="22"/>
                <w:szCs w:val="22"/>
                <w:lang w:val="it-IT" w:eastAsia="en-US" w:bidi="ar-SA"/>
              </w:rPr>
              <w:t>TITOLI VARI</w:t>
            </w:r>
          </w:p>
        </w:tc>
        <w:tc>
          <w:tcPr>
            <w:tcW w:w="4888" w:type="dxa"/>
            <w:tcBorders/>
          </w:tcPr>
          <w:p>
            <w:pPr>
              <w:pStyle w:val="Default"/>
              <w:widowControl w:val="false"/>
              <w:suppressAutoHyphens w:val="true"/>
              <w:spacing w:before="0" w:after="0"/>
              <w:jc w:val="both"/>
              <w:rPr>
                <w:b/>
                <w:b/>
                <w:bCs/>
                <w:sz w:val="22"/>
                <w:szCs w:val="22"/>
              </w:rPr>
            </w:pPr>
            <w:r>
              <w:rPr>
                <w:rFonts w:eastAsia="Calibri"/>
                <w:b/>
                <w:bCs/>
                <w:kern w:val="0"/>
                <w:sz w:val="22"/>
                <w:szCs w:val="22"/>
                <w:lang w:val="it-IT" w:eastAsia="en-US" w:bidi="ar-SA"/>
              </w:rPr>
              <w:t>PUNTEGGIO</w:t>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Pubblicazioni scientifiche nelle materie oggetto del posto messo a selezione</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Certificazione Lingua inglese B1</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0,50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b/>
                <w:b/>
                <w:bCs/>
                <w:sz w:val="22"/>
                <w:szCs w:val="22"/>
              </w:rPr>
            </w:pPr>
            <w:r>
              <w:rPr>
                <w:rFonts w:eastAsia="Calibri"/>
                <w:kern w:val="0"/>
                <w:sz w:val="22"/>
                <w:szCs w:val="22"/>
                <w:lang w:val="it-IT" w:eastAsia="en-US" w:bidi="ar-SA"/>
              </w:rPr>
              <w:t>Idoneità acquisita nei concorsi pubblici per rapporto di lavoro a tempo indeterminato per qualifica dirigenziale o per categoria rientrante nell’area direttiva per la posizione professionale ricercata</w:t>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Attestati di docenza in corsi di formazione professionale sulle materie oggetto della selezione</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bl>
    <w:p>
      <w:pPr>
        <w:pStyle w:val="Default"/>
        <w:jc w:val="both"/>
        <w:rPr/>
      </w:pPr>
      <w:r>
        <w:rPr>
          <w:b/>
        </w:rPr>
        <w:t>Fase b)</w:t>
      </w:r>
      <w:r>
        <w:rPr/>
        <w:t xml:space="preserve"> </w:t>
      </w:r>
      <w:r>
        <w:rPr>
          <w:b/>
        </w:rPr>
        <w:t>colloquio individuale:</w:t>
      </w:r>
    </w:p>
    <w:p>
      <w:pPr>
        <w:pStyle w:val="Default"/>
        <w:jc w:val="both"/>
        <w:rPr>
          <w:sz w:val="22"/>
          <w:szCs w:val="22"/>
        </w:rPr>
      </w:pPr>
      <w:r>
        <w:rPr>
          <w:sz w:val="22"/>
          <w:szCs w:val="22"/>
        </w:rPr>
      </w:r>
    </w:p>
    <w:p>
      <w:pPr>
        <w:pStyle w:val="Default"/>
        <w:jc w:val="both"/>
        <w:rPr>
          <w:sz w:val="22"/>
          <w:szCs w:val="22"/>
        </w:rPr>
      </w:pPr>
      <w:r>
        <w:rPr>
          <w:sz w:val="22"/>
          <w:szCs w:val="22"/>
        </w:rPr>
        <w:t>Il colloquio verterà sulle specifiche competenze del profilo professionale ricercato.</w:t>
      </w:r>
    </w:p>
    <w:p>
      <w:pPr>
        <w:pStyle w:val="Default"/>
        <w:spacing w:before="0" w:after="155"/>
        <w:jc w:val="both"/>
        <w:rPr>
          <w:sz w:val="22"/>
          <w:szCs w:val="22"/>
        </w:rPr>
      </w:pPr>
      <w:r>
        <w:rPr>
          <w:sz w:val="22"/>
          <w:szCs w:val="22"/>
        </w:rPr>
        <w:t xml:space="preserve">Nell’ambito del colloquio, la Commissione, tenendo conto della coerenza dei titoli di studio e delle abilitazioni professionali possedute, valuterà, anche sotto il profilo motivazionale, la capacità operativa e l'attitudine a ricoprirla, in particolare considerando la conoscenza della normativa di settore e delle procedure relative all'esecuzione delle mansioni pertinenti al profilo messo a selezione, anche mediante la soluzione di problemi specifici e casi concreti, per la verifica: </w:t>
      </w:r>
    </w:p>
    <w:p>
      <w:pPr>
        <w:pStyle w:val="Default"/>
        <w:numPr>
          <w:ilvl w:val="0"/>
          <w:numId w:val="2"/>
        </w:numPr>
        <w:spacing w:before="0" w:after="155"/>
        <w:rPr>
          <w:sz w:val="22"/>
          <w:szCs w:val="22"/>
        </w:rPr>
      </w:pPr>
      <w:r>
        <w:rPr>
          <w:sz w:val="22"/>
          <w:szCs w:val="22"/>
        </w:rPr>
        <w:t xml:space="preserve">del grado di autonomia nelle soluzioni proposte; </w:t>
      </w:r>
    </w:p>
    <w:p>
      <w:pPr>
        <w:pStyle w:val="Default"/>
        <w:numPr>
          <w:ilvl w:val="0"/>
          <w:numId w:val="2"/>
        </w:numPr>
        <w:spacing w:before="0" w:after="155"/>
        <w:rPr>
          <w:sz w:val="22"/>
          <w:szCs w:val="22"/>
        </w:rPr>
      </w:pPr>
      <w:r>
        <w:rPr>
          <w:sz w:val="22"/>
          <w:szCs w:val="22"/>
        </w:rPr>
        <w:t xml:space="preserve">della capacità di analisi e pianificazione; </w:t>
      </w:r>
    </w:p>
    <w:p>
      <w:pPr>
        <w:pStyle w:val="Default"/>
        <w:numPr>
          <w:ilvl w:val="0"/>
          <w:numId w:val="2"/>
        </w:numPr>
        <w:spacing w:before="0" w:after="155"/>
        <w:rPr>
          <w:sz w:val="22"/>
          <w:szCs w:val="22"/>
        </w:rPr>
      </w:pPr>
      <w:r>
        <w:rPr>
          <w:sz w:val="22"/>
          <w:szCs w:val="22"/>
        </w:rPr>
        <w:t xml:space="preserve">orientamento al risultato e al problem solving; </w:t>
      </w:r>
    </w:p>
    <w:p>
      <w:pPr>
        <w:pStyle w:val="Default"/>
        <w:numPr>
          <w:ilvl w:val="0"/>
          <w:numId w:val="2"/>
        </w:numPr>
        <w:rPr>
          <w:sz w:val="22"/>
          <w:szCs w:val="22"/>
        </w:rPr>
      </w:pPr>
      <w:r>
        <w:rPr>
          <w:sz w:val="22"/>
          <w:szCs w:val="22"/>
        </w:rPr>
        <w:t xml:space="preserve">capacità relazionali e di lavoro in team. </w:t>
      </w:r>
    </w:p>
    <w:p>
      <w:pPr>
        <w:pStyle w:val="Default"/>
        <w:jc w:val="both"/>
        <w:rPr>
          <w:sz w:val="22"/>
          <w:szCs w:val="22"/>
        </w:rPr>
      </w:pPr>
      <w:r>
        <w:rPr/>
        <w:t>È prevista 1'assegnazione di un punteggio massimo di</w:t>
      </w:r>
      <w:r>
        <w:rPr>
          <w:b/>
        </w:rPr>
        <w:t xml:space="preserve"> 30 punti</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6.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Incarico, durata e trattamento economico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L’incarico avrà la durata massima di 36 mesi, articolato in 250 giornate in tre anni e comunque per un numero massimo di 83 gg. annue e non oltre il 31 dicembre 2026.</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2. L’incarico può essere sottoposto a valutazione periodica da parte dell'Amministrazione ai fini della conferma della durata, da stabilirsi nel contratto che regola il rapporto di lavoro.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In ordine alle eventuali sospensioni della prestazione, qualora sopravvengano eventi comportanti l’impossibilità temporanea della prestazione, l'esperto si impegna a darne comunicazione immediata al fine di permettere all'Amministrazione di attivare eventuali azioni che non pregiudichino le attività previste. La sospensione del rapporto verrà comunque disciplinata nell'ambito del contratto secondo le disposizioni di normative vigenti in materia.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Il costo giornata/persona dovuto al professionista è pari ad € 400,00 al netto di IVA e degli oneri previdenziali, corrispondente al massimale riconosciuto al profilo senior previsto dal Regolamento dell’Agenzia per la Coesione Territoriale per il conferimento degli incarichi di lavoro autonomo n. 107 del 8/6/2018, come dettagliato  nella da tabella che segue:</w:t>
      </w:r>
    </w:p>
    <w:tbl>
      <w:tblPr>
        <w:tblW w:w="9630" w:type="dxa"/>
        <w:jc w:val="left"/>
        <w:tblInd w:w="112" w:type="dxa"/>
        <w:tblLayout w:type="fixed"/>
        <w:tblCellMar>
          <w:top w:w="0" w:type="dxa"/>
          <w:left w:w="5" w:type="dxa"/>
          <w:bottom w:w="0" w:type="dxa"/>
          <w:right w:w="5" w:type="dxa"/>
        </w:tblCellMar>
        <w:tblLook w:val="0000"/>
      </w:tblPr>
      <w:tblGrid>
        <w:gridCol w:w="981"/>
        <w:gridCol w:w="2143"/>
        <w:gridCol w:w="1187"/>
        <w:gridCol w:w="1591"/>
        <w:gridCol w:w="1349"/>
        <w:gridCol w:w="1082"/>
        <w:gridCol w:w="1296"/>
      </w:tblGrid>
      <w:tr>
        <w:trPr>
          <w:trHeight w:val="1665" w:hRule="exact"/>
        </w:trPr>
        <w:tc>
          <w:tcPr>
            <w:tcW w:w="981"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6" w:before="0" w:after="0"/>
              <w:ind w:left="140" w:right="-20" w:hanging="0"/>
              <w:rPr>
                <w:rFonts w:ascii="Times New Roman" w:hAnsi="Times New Roman" w:cs="Times New Roman"/>
                <w:sz w:val="24"/>
                <w:szCs w:val="24"/>
              </w:rPr>
            </w:pPr>
            <w:r>
              <w:rPr>
                <w:rFonts w:cs="Times New Roman" w:ascii="Times New Roman" w:hAnsi="Times New Roman"/>
                <w:b/>
                <w:bCs/>
                <w:spacing w:val="-1"/>
                <w:sz w:val="24"/>
                <w:szCs w:val="24"/>
              </w:rPr>
              <w:t>Pr</w:t>
            </w:r>
            <w:r>
              <w:rPr>
                <w:rFonts w:cs="Times New Roman" w:ascii="Times New Roman" w:hAnsi="Times New Roman"/>
                <w:b/>
                <w:bCs/>
                <w:sz w:val="24"/>
                <w:szCs w:val="24"/>
              </w:rPr>
              <w:t>o</w:t>
            </w:r>
            <w:r>
              <w:rPr>
                <w:rFonts w:cs="Times New Roman" w:ascii="Times New Roman" w:hAnsi="Times New Roman"/>
                <w:b/>
                <w:bCs/>
                <w:spacing w:val="1"/>
                <w:sz w:val="24"/>
                <w:szCs w:val="24"/>
              </w:rPr>
              <w:t>f</w:t>
            </w:r>
            <w:r>
              <w:rPr>
                <w:rFonts w:cs="Times New Roman" w:ascii="Times New Roman" w:hAnsi="Times New Roman"/>
                <w:b/>
                <w:bCs/>
                <w:sz w:val="24"/>
                <w:szCs w:val="24"/>
              </w:rPr>
              <w:t>i</w:t>
            </w:r>
            <w:r>
              <w:rPr>
                <w:rFonts w:cs="Times New Roman" w:ascii="Times New Roman" w:hAnsi="Times New Roman"/>
                <w:b/>
                <w:bCs/>
                <w:spacing w:val="1"/>
                <w:sz w:val="24"/>
                <w:szCs w:val="24"/>
              </w:rPr>
              <w:t>l</w:t>
            </w:r>
            <w:r>
              <w:rPr>
                <w:rFonts w:cs="Times New Roman" w:ascii="Times New Roman" w:hAnsi="Times New Roman"/>
                <w:b/>
                <w:bCs/>
                <w:sz w:val="24"/>
                <w:szCs w:val="24"/>
              </w:rPr>
              <w:t>o</w:t>
            </w:r>
          </w:p>
        </w:tc>
        <w:tc>
          <w:tcPr>
            <w:tcW w:w="2143"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4" w:before="4" w:after="0"/>
              <w:ind w:left="781" w:right="458" w:hanging="259"/>
              <w:rPr>
                <w:rFonts w:ascii="Times New Roman" w:hAnsi="Times New Roman" w:cs="Times New Roman"/>
                <w:sz w:val="24"/>
                <w:szCs w:val="24"/>
              </w:rPr>
            </w:pPr>
            <w:r>
              <w:rPr>
                <w:rFonts w:cs="Times New Roman" w:ascii="Times New Roman" w:hAnsi="Times New Roman"/>
                <w:b/>
                <w:bCs/>
                <w:spacing w:val="-1"/>
                <w:sz w:val="24"/>
                <w:szCs w:val="24"/>
              </w:rPr>
              <w:t>M</w:t>
            </w:r>
            <w:r>
              <w:rPr>
                <w:rFonts w:cs="Times New Roman" w:ascii="Times New Roman" w:hAnsi="Times New Roman"/>
                <w:b/>
                <w:bCs/>
                <w:sz w:val="24"/>
                <w:szCs w:val="24"/>
              </w:rPr>
              <w:t>assi</w:t>
            </w:r>
            <w:r>
              <w:rPr>
                <w:rFonts w:cs="Times New Roman" w:ascii="Times New Roman" w:hAnsi="Times New Roman"/>
                <w:b/>
                <w:bCs/>
                <w:spacing w:val="-2"/>
                <w:sz w:val="24"/>
                <w:szCs w:val="24"/>
              </w:rPr>
              <w:t>m</w:t>
            </w:r>
            <w:r>
              <w:rPr>
                <w:rFonts w:cs="Times New Roman" w:ascii="Times New Roman" w:hAnsi="Times New Roman"/>
                <w:b/>
                <w:bCs/>
                <w:sz w:val="24"/>
                <w:szCs w:val="24"/>
              </w:rPr>
              <w:t>a</w:t>
            </w:r>
            <w:r>
              <w:rPr>
                <w:rFonts w:cs="Times New Roman" w:ascii="Times New Roman" w:hAnsi="Times New Roman"/>
                <w:b/>
                <w:bCs/>
                <w:spacing w:val="3"/>
                <w:sz w:val="24"/>
                <w:szCs w:val="24"/>
              </w:rPr>
              <w:t>l</w:t>
            </w:r>
            <w:r>
              <w:rPr>
                <w:rFonts w:cs="Times New Roman" w:ascii="Times New Roman" w:hAnsi="Times New Roman"/>
                <w:b/>
                <w:bCs/>
                <w:sz w:val="24"/>
                <w:szCs w:val="24"/>
              </w:rPr>
              <w:t>e gg/</w:t>
            </w:r>
            <w:r>
              <w:rPr>
                <w:rFonts w:cs="Times New Roman" w:ascii="Times New Roman" w:hAnsi="Times New Roman"/>
                <w:b/>
                <w:bCs/>
                <w:spacing w:val="1"/>
                <w:sz w:val="24"/>
                <w:szCs w:val="24"/>
              </w:rPr>
              <w:t>p</w:t>
            </w:r>
            <w:r>
              <w:rPr>
                <w:rFonts w:cs="Times New Roman" w:ascii="Times New Roman" w:hAnsi="Times New Roman"/>
                <w:b/>
                <w:bCs/>
                <w:sz w:val="24"/>
                <w:szCs w:val="24"/>
              </w:rPr>
              <w:t>p</w:t>
            </w:r>
          </w:p>
        </w:tc>
        <w:tc>
          <w:tcPr>
            <w:tcW w:w="1187"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134" w:right="109" w:hanging="3"/>
              <w:jc w:val="center"/>
              <w:rPr>
                <w:rFonts w:ascii="Times New Roman" w:hAnsi="Times New Roman" w:cs="Times New Roman"/>
                <w:sz w:val="24"/>
                <w:szCs w:val="24"/>
              </w:rPr>
            </w:pPr>
            <w:r>
              <w:rPr>
                <w:rFonts w:cs="Times New Roman" w:ascii="Times New Roman" w:hAnsi="Times New Roman"/>
                <w:b/>
                <w:bCs/>
                <w:sz w:val="24"/>
                <w:szCs w:val="24"/>
              </w:rPr>
              <w:t>Cos</w:t>
            </w:r>
            <w:r>
              <w:rPr>
                <w:rFonts w:cs="Times New Roman" w:ascii="Times New Roman" w:hAnsi="Times New Roman"/>
                <w:b/>
                <w:bCs/>
                <w:spacing w:val="-1"/>
                <w:sz w:val="24"/>
                <w:szCs w:val="24"/>
              </w:rPr>
              <w:t>t</w:t>
            </w:r>
            <w:r>
              <w:rPr>
                <w:rFonts w:cs="Times New Roman" w:ascii="Times New Roman" w:hAnsi="Times New Roman"/>
                <w:b/>
                <w:bCs/>
                <w:sz w:val="24"/>
                <w:szCs w:val="24"/>
              </w:rPr>
              <w:t xml:space="preserve">o giornata </w:t>
            </w:r>
            <w:r>
              <w:rPr>
                <w:rFonts w:cs="Times New Roman" w:ascii="Times New Roman" w:hAnsi="Times New Roman"/>
                <w:b/>
                <w:bCs/>
                <w:spacing w:val="1"/>
                <w:sz w:val="24"/>
                <w:szCs w:val="24"/>
              </w:rPr>
              <w:t>n</w:t>
            </w:r>
            <w:r>
              <w:rPr>
                <w:rFonts w:cs="Times New Roman" w:ascii="Times New Roman" w:hAnsi="Times New Roman"/>
                <w:b/>
                <w:bCs/>
                <w:spacing w:val="-1"/>
                <w:sz w:val="24"/>
                <w:szCs w:val="24"/>
              </w:rPr>
              <w:t>e</w:t>
            </w:r>
            <w:r>
              <w:rPr>
                <w:rFonts w:cs="Times New Roman" w:ascii="Times New Roman" w:hAnsi="Times New Roman"/>
                <w:b/>
                <w:bCs/>
                <w:sz w:val="24"/>
                <w:szCs w:val="24"/>
              </w:rPr>
              <w:t>t</w:t>
            </w:r>
            <w:r>
              <w:rPr>
                <w:rFonts w:cs="Times New Roman" w:ascii="Times New Roman" w:hAnsi="Times New Roman"/>
                <w:b/>
                <w:bCs/>
                <w:spacing w:val="-1"/>
                <w:sz w:val="24"/>
                <w:szCs w:val="24"/>
              </w:rPr>
              <w:t>t</w:t>
            </w:r>
            <w:r>
              <w:rPr>
                <w:rFonts w:cs="Times New Roman" w:ascii="Times New Roman" w:hAnsi="Times New Roman"/>
                <w:b/>
                <w:bCs/>
                <w:sz w:val="24"/>
                <w:szCs w:val="24"/>
              </w:rPr>
              <w:t>o</w:t>
            </w:r>
          </w:p>
        </w:tc>
        <w:tc>
          <w:tcPr>
            <w:tcW w:w="1591"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4" w:before="4" w:after="0"/>
              <w:ind w:left="105" w:right="41" w:firstLine="386"/>
              <w:rPr>
                <w:rFonts w:ascii="Times New Roman" w:hAnsi="Times New Roman" w:cs="Times New Roman"/>
                <w:sz w:val="24"/>
                <w:szCs w:val="24"/>
              </w:rPr>
            </w:pPr>
            <w:r>
              <w:rPr>
                <w:rFonts w:cs="Times New Roman" w:ascii="Times New Roman" w:hAnsi="Times New Roman"/>
                <w:b/>
                <w:bCs/>
                <w:sz w:val="24"/>
                <w:szCs w:val="24"/>
              </w:rPr>
              <w:t xml:space="preserve">Cassa </w:t>
            </w:r>
            <w:r>
              <w:rPr>
                <w:rFonts w:cs="Times New Roman" w:ascii="Times New Roman" w:hAnsi="Times New Roman"/>
                <w:b/>
                <w:bCs/>
                <w:spacing w:val="1"/>
                <w:sz w:val="24"/>
                <w:szCs w:val="24"/>
              </w:rPr>
              <w:t>p</w:t>
            </w:r>
            <w:r>
              <w:rPr>
                <w:rFonts w:cs="Times New Roman" w:ascii="Times New Roman" w:hAnsi="Times New Roman"/>
                <w:b/>
                <w:bCs/>
                <w:spacing w:val="-1"/>
                <w:sz w:val="24"/>
                <w:szCs w:val="24"/>
              </w:rPr>
              <w:t>re</w:t>
            </w:r>
            <w:r>
              <w:rPr>
                <w:rFonts w:cs="Times New Roman" w:ascii="Times New Roman" w:hAnsi="Times New Roman"/>
                <w:b/>
                <w:bCs/>
                <w:sz w:val="24"/>
                <w:szCs w:val="24"/>
              </w:rPr>
              <w:t>vi</w:t>
            </w:r>
            <w:r>
              <w:rPr>
                <w:rFonts w:cs="Times New Roman" w:ascii="Times New Roman" w:hAnsi="Times New Roman"/>
                <w:b/>
                <w:bCs/>
                <w:spacing w:val="1"/>
                <w:sz w:val="24"/>
                <w:szCs w:val="24"/>
              </w:rPr>
              <w:t>d</w:t>
            </w:r>
            <w:r>
              <w:rPr>
                <w:rFonts w:cs="Times New Roman" w:ascii="Times New Roman" w:hAnsi="Times New Roman"/>
                <w:b/>
                <w:bCs/>
                <w:spacing w:val="-1"/>
                <w:sz w:val="24"/>
                <w:szCs w:val="24"/>
              </w:rPr>
              <w:t>e</w:t>
            </w:r>
            <w:r>
              <w:rPr>
                <w:rFonts w:cs="Times New Roman" w:ascii="Times New Roman" w:hAnsi="Times New Roman"/>
                <w:b/>
                <w:bCs/>
                <w:spacing w:val="1"/>
                <w:sz w:val="24"/>
                <w:szCs w:val="24"/>
              </w:rPr>
              <w:t>n</w:t>
            </w:r>
            <w:r>
              <w:rPr>
                <w:rFonts w:cs="Times New Roman" w:ascii="Times New Roman" w:hAnsi="Times New Roman"/>
                <w:b/>
                <w:bCs/>
                <w:spacing w:val="-1"/>
                <w:sz w:val="24"/>
                <w:szCs w:val="24"/>
              </w:rPr>
              <w:t>z</w:t>
            </w:r>
            <w:r>
              <w:rPr>
                <w:rFonts w:cs="Times New Roman" w:ascii="Times New Roman" w:hAnsi="Times New Roman"/>
                <w:b/>
                <w:bCs/>
                <w:sz w:val="24"/>
                <w:szCs w:val="24"/>
              </w:rPr>
              <w:t>ia</w:t>
            </w:r>
            <w:r>
              <w:rPr>
                <w:rFonts w:cs="Times New Roman" w:ascii="Times New Roman" w:hAnsi="Times New Roman"/>
                <w:b/>
                <w:bCs/>
                <w:spacing w:val="1"/>
                <w:sz w:val="24"/>
                <w:szCs w:val="24"/>
              </w:rPr>
              <w:t>l</w:t>
            </w:r>
            <w:r>
              <w:rPr>
                <w:rFonts w:cs="Times New Roman" w:ascii="Times New Roman" w:hAnsi="Times New Roman"/>
                <w:b/>
                <w:bCs/>
                <w:sz w:val="24"/>
                <w:szCs w:val="24"/>
              </w:rPr>
              <w:t>e</w:t>
            </w:r>
          </w:p>
        </w:tc>
        <w:tc>
          <w:tcPr>
            <w:tcW w:w="1349"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6" w:before="0" w:after="0"/>
              <w:ind w:left="410" w:right="391" w:hanging="0"/>
              <w:jc w:val="center"/>
              <w:rPr>
                <w:rFonts w:ascii="Times New Roman" w:hAnsi="Times New Roman" w:cs="Times New Roman"/>
                <w:sz w:val="24"/>
                <w:szCs w:val="24"/>
              </w:rPr>
            </w:pPr>
            <w:r>
              <w:rPr>
                <w:rFonts w:cs="Times New Roman" w:ascii="Times New Roman" w:hAnsi="Times New Roman"/>
                <w:b/>
                <w:bCs/>
                <w:sz w:val="24"/>
                <w:szCs w:val="24"/>
              </w:rPr>
              <w:t>IVA</w:t>
            </w:r>
          </w:p>
          <w:p>
            <w:pPr>
              <w:pStyle w:val="Normal"/>
              <w:widowControl w:val="false"/>
              <w:spacing w:lineRule="exact" w:line="269" w:before="0" w:after="0"/>
              <w:ind w:left="93" w:right="77" w:hanging="0"/>
              <w:jc w:val="center"/>
              <w:rPr>
                <w:rFonts w:ascii="Times New Roman" w:hAnsi="Times New Roman" w:cs="Times New Roman"/>
                <w:sz w:val="24"/>
                <w:szCs w:val="24"/>
              </w:rPr>
            </w:pPr>
            <w:r>
              <w:rPr>
                <w:rFonts w:cs="Times New Roman" w:ascii="Times New Roman" w:hAnsi="Times New Roman"/>
                <w:b/>
                <w:bCs/>
                <w:spacing w:val="-1"/>
                <w:sz w:val="24"/>
                <w:szCs w:val="24"/>
              </w:rPr>
              <w:t>(</w:t>
            </w:r>
            <w:r>
              <w:rPr>
                <w:rFonts w:cs="Times New Roman" w:ascii="Times New Roman" w:hAnsi="Times New Roman"/>
                <w:i/>
                <w:iCs/>
                <w:sz w:val="24"/>
                <w:szCs w:val="24"/>
              </w:rPr>
              <w:t>se do</w:t>
            </w:r>
            <w:r>
              <w:rPr>
                <w:rFonts w:cs="Times New Roman" w:ascii="Times New Roman" w:hAnsi="Times New Roman"/>
                <w:i/>
                <w:iCs/>
                <w:spacing w:val="-1"/>
                <w:sz w:val="24"/>
                <w:szCs w:val="24"/>
              </w:rPr>
              <w:t>v</w:t>
            </w:r>
            <w:r>
              <w:rPr>
                <w:rFonts w:cs="Times New Roman" w:ascii="Times New Roman" w:hAnsi="Times New Roman"/>
                <w:i/>
                <w:iCs/>
                <w:sz w:val="24"/>
                <w:szCs w:val="24"/>
              </w:rPr>
              <w:t>uta</w:t>
            </w:r>
            <w:r>
              <w:rPr>
                <w:rFonts w:cs="Times New Roman" w:ascii="Times New Roman" w:hAnsi="Times New Roman"/>
                <w:b/>
                <w:bCs/>
                <w:i/>
                <w:iCs/>
                <w:sz w:val="24"/>
                <w:szCs w:val="24"/>
              </w:rPr>
              <w:t>)</w:t>
            </w:r>
          </w:p>
        </w:tc>
        <w:tc>
          <w:tcPr>
            <w:tcW w:w="1082"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82" w:right="62" w:hanging="2"/>
              <w:jc w:val="center"/>
              <w:rPr>
                <w:rFonts w:ascii="Times New Roman" w:hAnsi="Times New Roman" w:cs="Times New Roman"/>
                <w:sz w:val="24"/>
                <w:szCs w:val="24"/>
              </w:rPr>
            </w:pPr>
            <w:r>
              <w:rPr>
                <w:rFonts w:cs="Times New Roman" w:ascii="Times New Roman" w:hAnsi="Times New Roman"/>
                <w:b/>
                <w:bCs/>
                <w:spacing w:val="-1"/>
                <w:sz w:val="24"/>
                <w:szCs w:val="24"/>
              </w:rPr>
              <w:t>c</w:t>
            </w:r>
            <w:r>
              <w:rPr>
                <w:rFonts w:cs="Times New Roman" w:ascii="Times New Roman" w:hAnsi="Times New Roman"/>
                <w:b/>
                <w:bCs/>
                <w:sz w:val="24"/>
                <w:szCs w:val="24"/>
              </w:rPr>
              <w:t>osto to</w:t>
            </w:r>
            <w:r>
              <w:rPr>
                <w:rFonts w:cs="Times New Roman" w:ascii="Times New Roman" w:hAnsi="Times New Roman"/>
                <w:b/>
                <w:bCs/>
                <w:spacing w:val="-1"/>
                <w:sz w:val="24"/>
                <w:szCs w:val="24"/>
              </w:rPr>
              <w:t>t</w:t>
            </w:r>
            <w:r>
              <w:rPr>
                <w:rFonts w:cs="Times New Roman" w:ascii="Times New Roman" w:hAnsi="Times New Roman"/>
                <w:b/>
                <w:bCs/>
                <w:sz w:val="24"/>
                <w:szCs w:val="24"/>
              </w:rPr>
              <w:t>ale lordo si</w:t>
            </w:r>
            <w:r>
              <w:rPr>
                <w:rFonts w:cs="Times New Roman" w:ascii="Times New Roman" w:hAnsi="Times New Roman"/>
                <w:b/>
                <w:bCs/>
                <w:spacing w:val="1"/>
                <w:sz w:val="24"/>
                <w:szCs w:val="24"/>
              </w:rPr>
              <w:t>n</w:t>
            </w:r>
            <w:r>
              <w:rPr>
                <w:rFonts w:cs="Times New Roman" w:ascii="Times New Roman" w:hAnsi="Times New Roman"/>
                <w:b/>
                <w:bCs/>
                <w:sz w:val="24"/>
                <w:szCs w:val="24"/>
              </w:rPr>
              <w:t>gola giornata</w:t>
            </w:r>
          </w:p>
        </w:tc>
        <w:tc>
          <w:tcPr>
            <w:tcW w:w="1296"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181" w:right="122" w:firstLine="94"/>
              <w:rPr>
                <w:rFonts w:ascii="Times New Roman" w:hAnsi="Times New Roman" w:cs="Times New Roman"/>
                <w:sz w:val="24"/>
                <w:szCs w:val="24"/>
              </w:rPr>
            </w:pPr>
            <w:r>
              <w:rPr>
                <w:rFonts w:cs="Times New Roman" w:ascii="Times New Roman" w:hAnsi="Times New Roman"/>
                <w:b/>
                <w:bCs/>
                <w:sz w:val="24"/>
                <w:szCs w:val="24"/>
              </w:rPr>
              <w:t>B</w:t>
            </w:r>
            <w:r>
              <w:rPr>
                <w:rFonts w:cs="Times New Roman" w:ascii="Times New Roman" w:hAnsi="Times New Roman"/>
                <w:b/>
                <w:bCs/>
                <w:spacing w:val="1"/>
                <w:sz w:val="24"/>
                <w:szCs w:val="24"/>
              </w:rPr>
              <w:t>ud</w:t>
            </w:r>
            <w:r>
              <w:rPr>
                <w:rFonts w:cs="Times New Roman" w:ascii="Times New Roman" w:hAnsi="Times New Roman"/>
                <w:b/>
                <w:bCs/>
                <w:sz w:val="24"/>
                <w:szCs w:val="24"/>
              </w:rPr>
              <w:t>g</w:t>
            </w:r>
            <w:r>
              <w:rPr>
                <w:rFonts w:cs="Times New Roman" w:ascii="Times New Roman" w:hAnsi="Times New Roman"/>
                <w:b/>
                <w:bCs/>
                <w:spacing w:val="-1"/>
                <w:sz w:val="24"/>
                <w:szCs w:val="24"/>
              </w:rPr>
              <w:t>e</w:t>
            </w:r>
            <w:r>
              <w:rPr>
                <w:rFonts w:cs="Times New Roman" w:ascii="Times New Roman" w:hAnsi="Times New Roman"/>
                <w:b/>
                <w:bCs/>
                <w:sz w:val="24"/>
                <w:szCs w:val="24"/>
              </w:rPr>
              <w:t xml:space="preserve">t </w:t>
            </w:r>
            <w:r>
              <w:rPr>
                <w:rFonts w:cs="Times New Roman" w:ascii="Times New Roman" w:hAnsi="Times New Roman"/>
                <w:b/>
                <w:bCs/>
                <w:spacing w:val="-3"/>
                <w:sz w:val="24"/>
                <w:szCs w:val="24"/>
              </w:rPr>
              <w:t>m</w:t>
            </w:r>
            <w:r>
              <w:rPr>
                <w:rFonts w:cs="Times New Roman" w:ascii="Times New Roman" w:hAnsi="Times New Roman"/>
                <w:b/>
                <w:bCs/>
                <w:sz w:val="24"/>
                <w:szCs w:val="24"/>
              </w:rPr>
              <w:t>ass</w:t>
            </w:r>
            <w:r>
              <w:rPr>
                <w:rFonts w:cs="Times New Roman" w:ascii="Times New Roman" w:hAnsi="Times New Roman"/>
                <w:b/>
                <w:bCs/>
                <w:spacing w:val="3"/>
                <w:sz w:val="24"/>
                <w:szCs w:val="24"/>
              </w:rPr>
              <w:t>i</w:t>
            </w:r>
            <w:r>
              <w:rPr>
                <w:rFonts w:cs="Times New Roman" w:ascii="Times New Roman" w:hAnsi="Times New Roman"/>
                <w:b/>
                <w:bCs/>
                <w:spacing w:val="-3"/>
                <w:sz w:val="24"/>
                <w:szCs w:val="24"/>
              </w:rPr>
              <w:t>m</w:t>
            </w:r>
            <w:r>
              <w:rPr>
                <w:rFonts w:cs="Times New Roman" w:ascii="Times New Roman" w:hAnsi="Times New Roman"/>
                <w:b/>
                <w:bCs/>
                <w:sz w:val="24"/>
                <w:szCs w:val="24"/>
              </w:rPr>
              <w:t>o t</w:t>
            </w:r>
            <w:r>
              <w:rPr>
                <w:rFonts w:cs="Times New Roman" w:ascii="Times New Roman" w:hAnsi="Times New Roman"/>
                <w:b/>
                <w:bCs/>
                <w:spacing w:val="-2"/>
                <w:sz w:val="24"/>
                <w:szCs w:val="24"/>
              </w:rPr>
              <w:t>r</w:t>
            </w:r>
            <w:r>
              <w:rPr>
                <w:rFonts w:cs="Times New Roman" w:ascii="Times New Roman" w:hAnsi="Times New Roman"/>
                <w:b/>
                <w:bCs/>
                <w:sz w:val="24"/>
                <w:szCs w:val="24"/>
              </w:rPr>
              <w:t>ien</w:t>
            </w:r>
            <w:r>
              <w:rPr>
                <w:rFonts w:cs="Times New Roman" w:ascii="Times New Roman" w:hAnsi="Times New Roman"/>
                <w:b/>
                <w:bCs/>
                <w:spacing w:val="1"/>
                <w:sz w:val="24"/>
                <w:szCs w:val="24"/>
              </w:rPr>
              <w:t>n</w:t>
            </w:r>
            <w:r>
              <w:rPr>
                <w:rFonts w:cs="Times New Roman" w:ascii="Times New Roman" w:hAnsi="Times New Roman"/>
                <w:b/>
                <w:bCs/>
                <w:sz w:val="24"/>
                <w:szCs w:val="24"/>
              </w:rPr>
              <w:t>ale</w:t>
            </w:r>
          </w:p>
        </w:tc>
      </w:tr>
      <w:tr>
        <w:trPr>
          <w:trHeight w:val="288" w:hRule="exact"/>
        </w:trPr>
        <w:tc>
          <w:tcPr>
            <w:tcW w:w="98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93" w:right="-20" w:hanging="0"/>
              <w:rPr>
                <w:rFonts w:ascii="Times New Roman" w:hAnsi="Times New Roman" w:cs="Times New Roman"/>
                <w:sz w:val="24"/>
                <w:szCs w:val="24"/>
              </w:rPr>
            </w:pPr>
            <w:r>
              <w:rPr>
                <w:rFonts w:cs="Times New Roman" w:ascii="Times New Roman" w:hAnsi="Times New Roman"/>
                <w:sz w:val="24"/>
                <w:szCs w:val="24"/>
              </w:rPr>
              <w:t>s</w:t>
            </w:r>
            <w:r>
              <w:rPr>
                <w:rFonts w:cs="Times New Roman" w:ascii="Times New Roman" w:hAnsi="Times New Roman"/>
                <w:spacing w:val="-1"/>
                <w:sz w:val="24"/>
                <w:szCs w:val="24"/>
              </w:rPr>
              <w:t>e</w:t>
            </w:r>
            <w:r>
              <w:rPr>
                <w:rFonts w:cs="Times New Roman" w:ascii="Times New Roman" w:hAnsi="Times New Roman"/>
                <w:sz w:val="24"/>
                <w:szCs w:val="24"/>
              </w:rPr>
              <w:t>nior</w:t>
            </w:r>
          </w:p>
        </w:tc>
        <w:tc>
          <w:tcPr>
            <w:tcW w:w="214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851" w:right="827" w:hanging="0"/>
              <w:jc w:val="center"/>
              <w:rPr>
                <w:rFonts w:ascii="Times New Roman" w:hAnsi="Times New Roman" w:cs="Times New Roman"/>
                <w:sz w:val="24"/>
                <w:szCs w:val="24"/>
              </w:rPr>
            </w:pPr>
            <w:r>
              <w:rPr>
                <w:rFonts w:cs="Times New Roman" w:ascii="Times New Roman" w:hAnsi="Times New Roman"/>
                <w:sz w:val="24"/>
                <w:szCs w:val="24"/>
              </w:rPr>
              <w:t>250</w:t>
            </w:r>
          </w:p>
        </w:tc>
        <w:tc>
          <w:tcPr>
            <w:tcW w:w="11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258" w:right="-20" w:hanging="0"/>
              <w:rPr>
                <w:rFonts w:ascii="Times New Roman" w:hAnsi="Times New Roman" w:cs="Times New Roman"/>
                <w:sz w:val="24"/>
                <w:szCs w:val="24"/>
              </w:rPr>
            </w:pPr>
            <w:r>
              <w:rPr>
                <w:rFonts w:cs="Times New Roman" w:ascii="Times New Roman" w:hAnsi="Times New Roman"/>
                <w:sz w:val="24"/>
                <w:szCs w:val="24"/>
              </w:rPr>
              <w:t>400,00</w:t>
            </w:r>
          </w:p>
        </w:tc>
        <w:tc>
          <w:tcPr>
            <w:tcW w:w="15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520" w:right="-20" w:hanging="0"/>
              <w:rPr>
                <w:rFonts w:ascii="Times New Roman" w:hAnsi="Times New Roman" w:cs="Times New Roman"/>
                <w:sz w:val="24"/>
                <w:szCs w:val="24"/>
              </w:rPr>
            </w:pPr>
            <w:r>
              <w:rPr>
                <w:rFonts w:cs="Times New Roman" w:ascii="Times New Roman" w:hAnsi="Times New Roman"/>
                <w:sz w:val="24"/>
                <w:szCs w:val="24"/>
              </w:rPr>
              <w:t>16,00</w:t>
            </w:r>
          </w:p>
        </w:tc>
        <w:tc>
          <w:tcPr>
            <w:tcW w:w="134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397" w:right="-20" w:hanging="0"/>
              <w:rPr>
                <w:rFonts w:ascii="Times New Roman" w:hAnsi="Times New Roman" w:cs="Times New Roman"/>
                <w:sz w:val="24"/>
                <w:szCs w:val="24"/>
              </w:rPr>
            </w:pPr>
            <w:r>
              <w:rPr>
                <w:rFonts w:cs="Times New Roman" w:ascii="Times New Roman" w:hAnsi="Times New Roman"/>
                <w:sz w:val="24"/>
                <w:szCs w:val="24"/>
              </w:rPr>
              <w:t>88,00</w:t>
            </w:r>
          </w:p>
        </w:tc>
        <w:tc>
          <w:tcPr>
            <w:tcW w:w="108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205" w:right="-20" w:hanging="0"/>
              <w:rPr>
                <w:rFonts w:ascii="Times New Roman" w:hAnsi="Times New Roman" w:cs="Times New Roman"/>
                <w:sz w:val="24"/>
                <w:szCs w:val="24"/>
              </w:rPr>
            </w:pPr>
            <w:r>
              <w:rPr>
                <w:rFonts w:cs="Times New Roman" w:ascii="Times New Roman" w:hAnsi="Times New Roman"/>
                <w:sz w:val="24"/>
                <w:szCs w:val="24"/>
              </w:rPr>
              <w:t>504,00</w:t>
            </w:r>
          </w:p>
        </w:tc>
        <w:tc>
          <w:tcPr>
            <w:tcW w:w="12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02" w:right="-20" w:hanging="0"/>
              <w:rPr>
                <w:rFonts w:ascii="Times New Roman" w:hAnsi="Times New Roman" w:cs="Times New Roman"/>
                <w:sz w:val="24"/>
                <w:szCs w:val="24"/>
              </w:rPr>
            </w:pPr>
            <w:r>
              <w:rPr>
                <w:rFonts w:cs="Times New Roman" w:ascii="Times New Roman" w:hAnsi="Times New Roman"/>
                <w:sz w:val="24"/>
                <w:szCs w:val="24"/>
              </w:rPr>
              <w:t>126.000,00</w:t>
            </w:r>
          </w:p>
        </w:tc>
      </w:tr>
    </w:tbl>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L’intero costo derivante dalla sottoscrizione del relativo contratto di lavoro farà carico sulle risorse del programma di Azione e Coesione Complementare al PON Governance e capacità Istituzionale 2014-2020 – CUP E99J21007460005.</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contratto verrà stipulato sulla base dello schema di contratto predisposto dall'Agenzia per la Coesione Territoriale, che definisce le modalità, anche temporali, della collaborazione e la soglia massima della remunerazione, nei limiti di quanto stabilito dal Regolamento per il conferimento degli incarichi di lavoro autonomo, di cui al decreto del direttore della predetta Agenzia, n. 107, in data 8 giugno 2018.</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Art. 7</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Trattamento dei dati personali</w:t>
      </w:r>
    </w:p>
    <w:p>
      <w:pPr>
        <w:pStyle w:val="Standard"/>
        <w:suppressAutoHyphens w:val="false"/>
        <w:spacing w:lineRule="auto" w:line="276"/>
        <w:jc w:val="both"/>
        <w:rPr>
          <w:rFonts w:eastAsia="Batang, 바탕"/>
          <w:spacing w:val="0"/>
          <w:szCs w:val="24"/>
          <w:lang w:eastAsia="it-IT"/>
        </w:rPr>
      </w:pPr>
      <w:r>
        <w:rPr>
          <w:szCs w:val="24"/>
        </w:rPr>
        <w:t>1.</w:t>
      </w:r>
      <w:r>
        <w:rPr>
          <w:rFonts w:eastAsia="Batang, 바탕"/>
          <w:spacing w:val="0"/>
          <w:szCs w:val="24"/>
          <w:lang w:eastAsia="it-IT"/>
        </w:rPr>
        <w:t>Il Titolare del trattamento è il Comune di Messina. I dati raccolti con la domanda di partecipazione alla procedura di selezione sono trattati esclusivamente per le finalità connesse all’espletamento della stessa e per le successive attività nel rispetto delle prescrizioni di cui al   Regolamento UE 2016/679 (GDPR) – (Regolamento Europeo relativo al trattamento dei dati personali)  e della normativa nazionale (D.Lgs. 196/2003 modificato dal D.Lgs. n. 101/2018).</w:t>
      </w:r>
    </w:p>
    <w:p>
      <w:pPr>
        <w:pStyle w:val="Standard"/>
        <w:suppressAutoHyphens w:val="false"/>
        <w:spacing w:lineRule="auto" w:line="276"/>
        <w:jc w:val="both"/>
        <w:rPr>
          <w:rFonts w:eastAsia="Batang, 바탕"/>
          <w:spacing w:val="0"/>
          <w:szCs w:val="24"/>
          <w:lang w:eastAsia="it-IT"/>
        </w:rPr>
      </w:pPr>
      <w:r>
        <w:rPr>
          <w:rFonts w:eastAsia="Batang, 바탕"/>
          <w:spacing w:val="0"/>
          <w:szCs w:val="24"/>
          <w:lang w:eastAsia="it-IT"/>
        </w:rPr>
        <w:t>I dati forniti dai candidati per la partecipazione alla selezione saranno trattati e conservati nel rispetto degli obblighi previsti dalla normativa vigente  per il tempo necessario connesso alla gestione della procedura selettiva e della graduatoria, in archivi informatici, cartacei per i necessari adempimenti in ordine alla procedura selettiva e anche per adempiere a specifici obblighi imposti da legge, regolamenti e dalla normativa comunitaria.</w:t>
      </w:r>
    </w:p>
    <w:p>
      <w:pPr>
        <w:pStyle w:val="Normal"/>
        <w:spacing w:before="0" w:after="0"/>
        <w:jc w:val="both"/>
        <w:rPr>
          <w:rFonts w:ascii="Times New Roman" w:hAnsi="Times New Roman" w:eastAsia="Batang, 바탕" w:cs="Times New Roman"/>
          <w:sz w:val="24"/>
          <w:szCs w:val="24"/>
        </w:rPr>
      </w:pPr>
      <w:r>
        <w:rPr>
          <w:rFonts w:eastAsia="Batang, 바탕" w:cs="Times New Roman" w:ascii="Times New Roman" w:hAnsi="Times New Roman"/>
          <w:sz w:val="24"/>
          <w:szCs w:val="24"/>
        </w:rPr>
        <w:t xml:space="preserve">L’interessato potrà esercitare, alle condizioni e nei limiti di cui al Regolamento UE n.679/2016 i diritti previsti negli artt. 15 e seguenti del medesimo: l’accesso ai propri dati personali, la rettifica o la cancellazione dei dati, la limitazione del trattamento, la portabilità dei dati, l’opposizione al trattamento.  </w:t>
      </w:r>
    </w:p>
    <w:p>
      <w:pPr>
        <w:pStyle w:val="Normal"/>
        <w:spacing w:before="0" w:after="0"/>
        <w:jc w:val="both"/>
        <w:rPr>
          <w:rFonts w:ascii="Times New Roman" w:hAnsi="Times New Roman" w:eastAsia="Batang, 바탕" w:cs="Times New Roman"/>
          <w:sz w:val="24"/>
          <w:szCs w:val="24"/>
        </w:rPr>
      </w:pPr>
      <w:r>
        <w:rPr>
          <w:rFonts w:eastAsia="Batang, 바탕" w:cs="Times New Roman" w:ascii="Times New Roman" w:hAnsi="Times New Roman"/>
          <w:sz w:val="24"/>
          <w:szCs w:val="24"/>
        </w:rPr>
        <w:t>L’interessato potrà inoltre esercitare il diritto di proporre reclamo all’Autorità Garante per la protezione dei dati personali.</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8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Informazione e pubblicità</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1.   Il   presente   Avviso   è   pubblicato   all’Albo   pretorio on line    e   sul   sito   web   del   Comune </w:t>
      </w:r>
      <w:hyperlink r:id="rId8">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 nella sezione avvisi, nella sezione Amministrazione Trasparente/bandi di concorso. Eventuali richieste di chiarimento possono essere formulate dagli interessati, alla casella di Posta Elettronica </w:t>
      </w:r>
      <w:hyperlink r:id="rId9">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specificando nell’oggetto “</w:t>
      </w:r>
      <w:r>
        <w:rPr>
          <w:rFonts w:cs="Times New Roman" w:ascii="Times New Roman" w:hAnsi="Times New Roman"/>
          <w:b/>
          <w:i/>
          <w:sz w:val="24"/>
          <w:szCs w:val="24"/>
        </w:rPr>
        <w:t>Avviso Esperto consulente in contrattualistica pubblica e procedure ad evidenza pubblica – Profilo SENIO- PNRR”</w:t>
      </w:r>
      <w:r>
        <w:rPr>
          <w:rFonts w:cs="Times New Roman" w:ascii="Times New Roman" w:hAnsi="Times New Roman"/>
          <w:sz w:val="24"/>
          <w:szCs w:val="24"/>
        </w:rPr>
        <w:t xml:space="preserve"> </w:t>
      </w:r>
      <w:r>
        <w:rPr>
          <w:rFonts w:cs="Times New Roman" w:ascii="Times New Roman" w:hAnsi="Times New Roman"/>
          <w:b/>
          <w:i/>
          <w:sz w:val="24"/>
          <w:szCs w:val="24"/>
        </w:rPr>
        <w:t>richiesta informazioni e chiarimenti</w:t>
      </w:r>
      <w:r>
        <w:rPr>
          <w:rFonts w:cs="Times New Roman" w:ascii="Times New Roman" w:hAnsi="Times New Roman"/>
          <w:sz w:val="24"/>
          <w:szCs w:val="24"/>
        </w:rPr>
        <w: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Di ogni ulteriore informazione e comunicazione relative all’Avviso, sarà data diffusione sul sito internet del Comune.</w:t>
      </w:r>
    </w:p>
    <w:p>
      <w:pPr>
        <w:pStyle w:val="Normal"/>
        <w:spacing w:before="0" w:after="0"/>
        <w:jc w:val="both"/>
        <w:rPr>
          <w:rFonts w:ascii="Times New Roman" w:hAnsi="Times New Roman" w:cs="Times New Roman"/>
        </w:rPr>
      </w:pPr>
      <w:r>
        <w:rPr>
          <w:rFonts w:cs="Times New Roman" w:ascii="Times New Roman" w:hAnsi="Times New Roman"/>
          <w:sz w:val="24"/>
          <w:szCs w:val="24"/>
        </w:rPr>
        <w:t>2. Responsabile del Procedimento è la dott.ssa Patrizia Russo, Responsabile del Servizio Gestione Giuridica del Personale, contattabile all’indirizzo pec del comune e/o all’indirizzo</w:t>
      </w:r>
      <w:r>
        <w:rPr>
          <w:rFonts w:cs="Times New Roman" w:ascii="Times New Roman" w:hAnsi="Times New Roman"/>
        </w:rPr>
        <w:t xml:space="preserve"> mail istituzionale: </w:t>
      </w:r>
      <w:hyperlink r:id="rId10">
        <w:r>
          <w:rPr>
            <w:rStyle w:val="CollegamentoInternet"/>
            <w:rFonts w:cs="Times New Roman" w:ascii="Times New Roman" w:hAnsi="Times New Roman"/>
          </w:rPr>
          <w:t>p.russo@comune.messina.it</w:t>
        </w:r>
      </w:hyperlink>
      <w:r>
        <w:rPr>
          <w:rFonts w:cs="Times New Roman" w:ascii="Times New Roman" w:hAnsi="Times New Roman"/>
        </w:rPr>
        <w:t>. – Tel. 0907722195.</w:t>
      </w:r>
    </w:p>
    <w:p>
      <w:pPr>
        <w:pStyle w:val="Normal"/>
        <w:spacing w:before="0" w:after="0"/>
        <w:jc w:val="both"/>
        <w:rPr>
          <w:rFonts w:ascii="Times New Roman" w:hAnsi="Times New Roman" w:cs="Times New Roman"/>
        </w:rPr>
      </w:pPr>
      <w:r>
        <w:rPr>
          <w:rFonts w:cs="Times New Roman" w:ascii="Times New Roman" w:hAnsi="Times New Roman"/>
        </w:rPr>
      </w:r>
    </w:p>
    <w:p>
      <w:pPr>
        <w:pStyle w:val="Normal"/>
        <w:spacing w:before="0" w:after="0"/>
        <w:jc w:val="both"/>
        <w:rPr/>
      </w:pPr>
      <w:r>
        <w:rPr/>
      </w:r>
    </w:p>
    <w:p>
      <w:pPr>
        <w:pStyle w:val="Normal"/>
        <w:spacing w:before="0" w:after="0"/>
        <w:jc w:val="both"/>
        <w:rPr>
          <w:rFonts w:ascii="Times New Roman" w:hAnsi="Times New Roman" w:cs="Times New Roman"/>
        </w:rPr>
      </w:pPr>
      <w:r>
        <w:rPr>
          <w:rFonts w:cs="Times New Roman" w:ascii="Times New Roman" w:hAnsi="Times New Roman"/>
        </w:rPr>
        <w:t>Messina,</w:t>
      </w:r>
    </w:p>
    <w:p>
      <w:pPr>
        <w:pStyle w:val="Normal"/>
        <w:spacing w:before="0" w:after="0"/>
        <w:jc w:val="both"/>
        <w:rPr>
          <w:rFonts w:ascii="Times New Roman" w:hAnsi="Times New Roman" w:eastAsia="" w:cs="Times New Roman" w:eastAsiaTheme="minorEastAsia"/>
          <w:color w:val="000000"/>
          <w:sz w:val="24"/>
          <w:szCs w:val="24"/>
          <w:lang w:eastAsia="it-IT"/>
        </w:rPr>
      </w:pPr>
      <w:r>
        <w:rPr>
          <w:rFonts w:eastAsia="" w:cs="Times New Roman" w:eastAsiaTheme="minorEastAsia" w:ascii="Times New Roman" w:hAnsi="Times New Roman"/>
          <w:color w:val="000000"/>
          <w:sz w:val="24"/>
          <w:szCs w:val="24"/>
          <w:lang w:eastAsia="it-IT"/>
        </w:rPr>
      </w:r>
    </w:p>
    <w:p>
      <w:pPr>
        <w:pStyle w:val="NoSpacing"/>
        <w:rPr>
          <w:rFonts w:ascii="Times New Roman" w:hAnsi="Times New Roman" w:cs="Times New Roman"/>
          <w:lang w:eastAsia="it-IT"/>
        </w:rPr>
      </w:pPr>
      <w:r>
        <w:rPr>
          <w:rFonts w:cs="Times New Roman" w:ascii="Times New Roman" w:hAnsi="Times New Roman"/>
          <w:lang w:eastAsia="it-IT"/>
        </w:rPr>
        <w:t xml:space="preserve">                                                                                                                 </w:t>
      </w:r>
      <w:r>
        <w:rPr>
          <w:rFonts w:cs="Times New Roman" w:ascii="Times New Roman" w:hAnsi="Times New Roman"/>
          <w:lang w:eastAsia="it-IT"/>
        </w:rPr>
        <w:t xml:space="preserve">IL DIRETTORE GENERALE                                                   </w:t>
      </w:r>
    </w:p>
    <w:p>
      <w:pPr>
        <w:pStyle w:val="NoSpacing"/>
        <w:ind w:left="4956" w:firstLine="708"/>
        <w:rPr>
          <w:rFonts w:ascii="Times New Roman" w:hAnsi="Times New Roman" w:cs="Times New Roman"/>
          <w:lang w:eastAsia="it-IT"/>
        </w:rPr>
      </w:pPr>
      <w:r>
        <w:rPr>
          <w:rFonts w:cs="Times New Roman" w:ascii="Times New Roman" w:hAnsi="Times New Roman"/>
          <w:lang w:eastAsia="it-IT"/>
        </w:rPr>
        <w:t xml:space="preserve">           </w:t>
      </w:r>
      <w:r>
        <w:rPr>
          <w:rFonts w:cs="Times New Roman" w:ascii="Times New Roman" w:hAnsi="Times New Roman"/>
          <w:lang w:eastAsia="it-IT"/>
        </w:rPr>
        <w:tab/>
        <w:t xml:space="preserve">     Dott. Salvo Puccio</w:t>
      </w:r>
    </w:p>
    <w:p>
      <w:pPr>
        <w:pStyle w:val="NoSpacing"/>
        <w:rPr>
          <w:lang w:eastAsia="it-IT"/>
        </w:rPr>
      </w:pPr>
      <w:r>
        <w:rPr/>
      </w:r>
    </w:p>
    <w:sectPr>
      <w:type w:val="nextPage"/>
      <w:pgSz w:w="11906" w:h="16838"/>
      <w:pgMar w:left="1134" w:right="1134" w:header="0" w:top="709"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Letter"/>
      <w:lvlText w:val="%1)"/>
      <w:lvlJc w:val="left"/>
      <w:pPr>
        <w:tabs>
          <w:tab w:val="num" w:pos="0"/>
        </w:tabs>
        <w:ind w:left="502" w:hanging="360"/>
      </w:pPr>
      <w:rPr>
        <w:b/>
      </w:rPr>
    </w:lvl>
    <w:lvl w:ilvl="1">
      <w:start w:val="1"/>
      <w:numFmt w:val="lowerLetter"/>
      <w:lvlText w:val="%2."/>
      <w:lvlJc w:val="left"/>
      <w:pPr>
        <w:tabs>
          <w:tab w:val="num" w:pos="0"/>
        </w:tabs>
        <w:ind w:left="1222" w:hanging="360"/>
      </w:pPr>
    </w:lvl>
    <w:lvl w:ilvl="2">
      <w:start w:val="1"/>
      <w:numFmt w:val="lowerRoman"/>
      <w:lvlText w:val="%3."/>
      <w:lvlJc w:val="right"/>
      <w:pPr>
        <w:tabs>
          <w:tab w:val="num" w:pos="0"/>
        </w:tabs>
        <w:ind w:left="1942" w:hanging="180"/>
      </w:pPr>
    </w:lvl>
    <w:lvl w:ilvl="3">
      <w:start w:val="1"/>
      <w:numFmt w:val="decimal"/>
      <w:lvlText w:val="%4."/>
      <w:lvlJc w:val="left"/>
      <w:pPr>
        <w:tabs>
          <w:tab w:val="num" w:pos="0"/>
        </w:tabs>
        <w:ind w:left="2662" w:hanging="360"/>
      </w:pPr>
    </w:lvl>
    <w:lvl w:ilvl="4">
      <w:start w:val="1"/>
      <w:numFmt w:val="lowerLetter"/>
      <w:lvlText w:val="%5."/>
      <w:lvlJc w:val="left"/>
      <w:pPr>
        <w:tabs>
          <w:tab w:val="num" w:pos="0"/>
        </w:tabs>
        <w:ind w:left="3382" w:hanging="360"/>
      </w:pPr>
    </w:lvl>
    <w:lvl w:ilvl="5">
      <w:start w:val="1"/>
      <w:numFmt w:val="lowerRoman"/>
      <w:lvlText w:val="%6."/>
      <w:lvlJc w:val="right"/>
      <w:pPr>
        <w:tabs>
          <w:tab w:val="num" w:pos="0"/>
        </w:tabs>
        <w:ind w:left="4102" w:hanging="180"/>
      </w:pPr>
    </w:lvl>
    <w:lvl w:ilvl="6">
      <w:start w:val="1"/>
      <w:numFmt w:val="decimal"/>
      <w:lvlText w:val="%7."/>
      <w:lvlJc w:val="left"/>
      <w:pPr>
        <w:tabs>
          <w:tab w:val="num" w:pos="0"/>
        </w:tabs>
        <w:ind w:left="4822" w:hanging="360"/>
      </w:pPr>
    </w:lvl>
    <w:lvl w:ilvl="7">
      <w:start w:val="1"/>
      <w:numFmt w:val="lowerLetter"/>
      <w:lvlText w:val="%8."/>
      <w:lvlJc w:val="left"/>
      <w:pPr>
        <w:tabs>
          <w:tab w:val="num" w:pos="0"/>
        </w:tabs>
        <w:ind w:left="5542" w:hanging="360"/>
      </w:pPr>
    </w:lvl>
    <w:lvl w:ilvl="8">
      <w:start w:val="1"/>
      <w:numFmt w:val="lowerRoman"/>
      <w:lvlText w:val="%9."/>
      <w:lvlJc w:val="right"/>
      <w:pPr>
        <w:tabs>
          <w:tab w:val="num" w:pos="0"/>
        </w:tabs>
        <w:ind w:left="6262" w:hanging="180"/>
      </w:p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32"/>
  <w:defaultTabStop w:val="708"/>
  <w:autoHyphenation w:val="true"/>
  <w:compat>
    <w:compatSetting w:name="compatibilityMode" w:uri="http://schemas.microsoft.com/office/word" w:val="12"/>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0"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7092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character" w:styleId="DefaultParagraphFont" w:default="1">
    <w:name w:val="Default Paragraph Font"/>
    <w:uiPriority w:val="1"/>
    <w:semiHidden/>
    <w:unhideWhenUsed/>
    <w:qFormat/>
    <w:rPr/>
  </w:style>
  <w:style w:type="character" w:styleId="CollegamentoInternet">
    <w:name w:val="Collegamento Internet"/>
    <w:basedOn w:val="DefaultParagraphFont"/>
    <w:uiPriority w:val="99"/>
    <w:unhideWhenUsed/>
    <w:rsid w:val="00f62ee1"/>
    <w:rPr>
      <w:color w:val="0000FF" w:themeColor="hyperlink"/>
      <w:u w:val="single"/>
    </w:rPr>
  </w:style>
  <w:style w:type="character" w:styleId="CorpotestoCarattere" w:customStyle="1">
    <w:name w:val="Corpo testo Carattere"/>
    <w:uiPriority w:val="99"/>
    <w:semiHidden/>
    <w:qFormat/>
    <w:rsid w:val="00f51ec0"/>
    <w:rPr>
      <w:rFonts w:ascii="Times New Roman" w:hAnsi="Times New Roman" w:cs="Times New Roman"/>
    </w:rPr>
  </w:style>
  <w:style w:type="character" w:styleId="CorpodeltestoCarattere" w:customStyle="1">
    <w:name w:val="Corpo del testo Carattere"/>
    <w:basedOn w:val="DefaultParagraphFont"/>
    <w:link w:val="Corpodeltesto"/>
    <w:uiPriority w:val="99"/>
    <w:semiHidden/>
    <w:qFormat/>
    <w:rsid w:val="00f51ec0"/>
    <w:rPr/>
  </w:style>
  <w:style w:type="character" w:styleId="Caratteridinumerazione">
    <w:name w:val="Caratteri di numerazione"/>
    <w:qFormat/>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link w:val="CorpodeltestoCarattere"/>
    <w:uiPriority w:val="99"/>
    <w:semiHidden/>
    <w:unhideWhenUsed/>
    <w:rsid w:val="00f51ec0"/>
    <w:pPr>
      <w:spacing w:before="0" w:after="12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ListParagraph">
    <w:name w:val="List Paragraph"/>
    <w:basedOn w:val="Normal"/>
    <w:qFormat/>
    <w:rsid w:val="00056ee4"/>
    <w:pPr>
      <w:spacing w:before="0" w:after="200"/>
      <w:ind w:left="720" w:hanging="0"/>
      <w:contextualSpacing/>
    </w:pPr>
    <w:rPr/>
  </w:style>
  <w:style w:type="paragraph" w:styleId="Standard" w:customStyle="1">
    <w:name w:val="Standard"/>
    <w:uiPriority w:val="99"/>
    <w:qFormat/>
    <w:rsid w:val="00a41137"/>
    <w:pPr>
      <w:widowControl/>
      <w:suppressAutoHyphens w:val="true"/>
      <w:bidi w:val="0"/>
      <w:spacing w:lineRule="auto" w:line="240" w:before="0" w:after="0"/>
      <w:jc w:val="left"/>
    </w:pPr>
    <w:rPr>
      <w:rFonts w:ascii="Times New Roman" w:hAnsi="Times New Roman" w:eastAsia="Times New Roman" w:cs="Times New Roman"/>
      <w:color w:val="000000"/>
      <w:spacing w:val="22"/>
      <w:kern w:val="0"/>
      <w:sz w:val="24"/>
      <w:szCs w:val="20"/>
      <w:lang w:val="it-IT" w:eastAsia="zh-CN" w:bidi="ar-SA"/>
    </w:rPr>
  </w:style>
  <w:style w:type="paragraph" w:styleId="NoSpacing">
    <w:name w:val="No Spacing"/>
    <w:uiPriority w:val="1"/>
    <w:qFormat/>
    <w:rsid w:val="00e85f6a"/>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paragraph" w:styleId="NormalWeb">
    <w:name w:val="Normal (Web)"/>
    <w:basedOn w:val="Normal"/>
    <w:uiPriority w:val="99"/>
    <w:unhideWhenUsed/>
    <w:qFormat/>
    <w:rsid w:val="00eb312f"/>
    <w:pPr>
      <w:spacing w:lineRule="auto" w:line="240" w:beforeAutospacing="1" w:afterAutospacing="1"/>
    </w:pPr>
    <w:rPr>
      <w:rFonts w:ascii="Times New Roman" w:hAnsi="Times New Roman" w:eastAsia="Times New Roman" w:cs="Times New Roman"/>
      <w:sz w:val="24"/>
      <w:szCs w:val="24"/>
      <w:lang w:eastAsia="it-IT"/>
    </w:rPr>
  </w:style>
  <w:style w:type="paragraph" w:styleId="Default" w:customStyle="1">
    <w:name w:val="Default"/>
    <w:qFormat/>
    <w:rsid w:val="004c3aef"/>
    <w:pPr>
      <w:widowControl/>
      <w:suppressAutoHyphens w:val="true"/>
      <w:bidi w:val="0"/>
      <w:spacing w:lineRule="auto" w:line="240" w:before="0" w:after="0"/>
      <w:jc w:val="left"/>
    </w:pPr>
    <w:rPr>
      <w:rFonts w:ascii="Times New Roman" w:hAnsi="Times New Roman" w:eastAsia="Calibri" w:cs="Times New Roman"/>
      <w:color w:val="000000"/>
      <w:kern w:val="0"/>
      <w:sz w:val="24"/>
      <w:szCs w:val="24"/>
      <w:lang w:val="it-IT" w:eastAsia="en-US" w:bidi="ar-SA"/>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CellMar>
        <w:top w:w="0" w:type="dxa"/>
        <w:left w:w="108" w:type="dxa"/>
        <w:bottom w:w="0" w:type="dxa"/>
        <w:right w:w="108" w:type="dxa"/>
      </w:tblCellMar>
    </w:tblPr>
  </w:style>
  <w:style w:type="table" w:styleId="Grigliatabella">
    <w:name w:val="Table Grid"/>
    <w:basedOn w:val="Tabellanormale"/>
    <w:uiPriority w:val="59"/>
    <w:rsid w:val="004c3aef"/>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oleObject" Target="embeddings/oleObject1.bin"/><Relationship Id="rId3" Type="http://schemas.openxmlformats.org/officeDocument/2006/relationships/image" Target="media/image1.png"/><Relationship Id="rId4" Type="http://schemas.openxmlformats.org/officeDocument/2006/relationships/hyperlink" Target="http://www.comune.messina.it/" TargetMode="External"/><Relationship Id="rId5" Type="http://schemas.openxmlformats.org/officeDocument/2006/relationships/hyperlink" Target="mailto:protocollo@pec.comune.messina.it" TargetMode="External"/><Relationship Id="rId6" Type="http://schemas.openxmlformats.org/officeDocument/2006/relationships/hyperlink" Target="mailto:protocollo@pec.comune.messina.it" TargetMode="External"/><Relationship Id="rId7" Type="http://schemas.openxmlformats.org/officeDocument/2006/relationships/hyperlink" Target="http://www.comune.messina.it/" TargetMode="External"/><Relationship Id="rId8" Type="http://schemas.openxmlformats.org/officeDocument/2006/relationships/hyperlink" Target="http://www.comune.messina.it/" TargetMode="External"/><Relationship Id="rId9" Type="http://schemas.openxmlformats.org/officeDocument/2006/relationships/hyperlink" Target="mailto:protocollo@pec.comune.messina.it" TargetMode="External"/><Relationship Id="rId10" Type="http://schemas.openxmlformats.org/officeDocument/2006/relationships/hyperlink" Target="mailto:p.russo@comune.messina.it"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344</TotalTime>
  <Application>LibreOffice/7.1.2.2$Windows_X86_64 LibreOffice_project/8a45595d069ef5570103caea1b71cc9d82b2aae4</Application>
  <AppVersion>15.0000</AppVersion>
  <Pages>11</Pages>
  <Words>4860</Words>
  <Characters>28656</Characters>
  <CharactersWithSpaces>33656</CharactersWithSpaces>
  <Paragraphs>211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2022-09-05T07:59:00Z</dcterms:created>
  <dc:creator>Antonella Saccà</dc:creator>
  <dc:description/>
  <dc:language>it-IT</dc:language>
  <cp:lastModifiedBy/>
  <cp:lastPrinted>2022-11-09T13:59:00Z</cp:lastPrinted>
  <dcterms:modified xsi:type="dcterms:W3CDTF">2023-02-15T12:11:08Z</dcterms:modified>
  <cp:revision>64</cp:revision>
  <dc:subject/>
  <dc:title/>
</cp:coreProperties>
</file>

<file path=docProps/custom.xml><?xml version="1.0" encoding="utf-8"?>
<Properties xmlns="http://schemas.openxmlformats.org/officeDocument/2006/custom-properties" xmlns:vt="http://schemas.openxmlformats.org/officeDocument/2006/docPropsVTypes"/>
</file>